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E0B3" w14:textId="13625317" w:rsidR="00C661D1" w:rsidRPr="000A7670" w:rsidRDefault="00E65B0E" w:rsidP="00C661D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A7670">
        <w:rPr>
          <w:rFonts w:ascii="Times New Roman" w:hAnsi="Times New Roman" w:cs="Times New Roman"/>
          <w:b/>
          <w:sz w:val="32"/>
          <w:szCs w:val="32"/>
          <w:lang w:val="sr-Cyrl-RS"/>
        </w:rPr>
        <w:t>ОСНОВНА МУЗИЧКА ШКОЛА, КАЊИЖА</w:t>
      </w:r>
    </w:p>
    <w:p w14:paraId="5A8411E3" w14:textId="77777777" w:rsidR="00C661D1" w:rsidRPr="000A7670" w:rsidRDefault="00C661D1" w:rsidP="00C661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7AF09A9" w14:textId="45C099ED" w:rsidR="00C661D1" w:rsidRDefault="00C661D1" w:rsidP="00C661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8DE029A" w14:textId="481677D4" w:rsidR="00792E48" w:rsidRDefault="00792E48" w:rsidP="00C661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0FFEE76" w14:textId="156BF4AB" w:rsidR="00792E48" w:rsidRDefault="00792E48" w:rsidP="00C661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183A1F7" w14:textId="77777777" w:rsidR="00792E48" w:rsidRPr="00C661D1" w:rsidRDefault="00792E48" w:rsidP="00C661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11243DB" w14:textId="77777777" w:rsidR="00C661D1" w:rsidRPr="00C661D1" w:rsidRDefault="00C661D1" w:rsidP="00C661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4C1E986" w14:textId="77777777" w:rsidR="00C661D1" w:rsidRPr="00C661D1" w:rsidRDefault="00C661D1" w:rsidP="00C661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E287FAA" w14:textId="77777777" w:rsidR="00C661D1" w:rsidRPr="00C661D1" w:rsidRDefault="00C661D1" w:rsidP="00C661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661D1">
        <w:rPr>
          <w:rFonts w:ascii="Times New Roman" w:hAnsi="Times New Roman" w:cs="Times New Roman"/>
          <w:b/>
          <w:sz w:val="28"/>
          <w:szCs w:val="28"/>
          <w:lang w:val="sr-Cyrl-RS"/>
        </w:rPr>
        <w:t>ПЛАН</w:t>
      </w:r>
    </w:p>
    <w:p w14:paraId="32B66943" w14:textId="77777777" w:rsidR="00C661D1" w:rsidRPr="00104624" w:rsidRDefault="00C661D1" w:rsidP="00C661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104624">
        <w:rPr>
          <w:rFonts w:ascii="Times New Roman" w:hAnsi="Times New Roman" w:cs="Times New Roman"/>
          <w:b/>
          <w:sz w:val="30"/>
          <w:szCs w:val="24"/>
        </w:rPr>
        <w:t xml:space="preserve">УПРАВЉАЊА РИЗИЦИМА ОД ПОВРЕДЕ ПРИНЦИПА </w:t>
      </w:r>
    </w:p>
    <w:p w14:paraId="1AF0F447" w14:textId="77777777" w:rsidR="00C661D1" w:rsidRPr="00584083" w:rsidRDefault="00C661D1" w:rsidP="00C66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24">
        <w:rPr>
          <w:rFonts w:ascii="Times New Roman" w:hAnsi="Times New Roman" w:cs="Times New Roman"/>
          <w:b/>
          <w:sz w:val="30"/>
          <w:szCs w:val="24"/>
        </w:rPr>
        <w:t>РОДНЕ РАВНОПРАВНОСТИ</w:t>
      </w:r>
    </w:p>
    <w:p w14:paraId="28D7FF77" w14:textId="77777777" w:rsidR="00C661D1" w:rsidRDefault="00C661D1" w:rsidP="00C66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705080" w14:textId="5FBBA85E" w:rsidR="00C661D1" w:rsidRPr="00C661D1" w:rsidRDefault="00E65B0E" w:rsidP="00C661D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ОСНОВНЕ МУЗИЧКЕ ШКОЛЕ, КАЊИЖА</w:t>
      </w:r>
    </w:p>
    <w:p w14:paraId="4CCCF0ED" w14:textId="77777777" w:rsidR="00C661D1" w:rsidRPr="00C661D1" w:rsidRDefault="00C661D1" w:rsidP="00C661D1">
      <w:pPr>
        <w:jc w:val="center"/>
        <w:rPr>
          <w:b/>
          <w:sz w:val="32"/>
          <w:szCs w:val="32"/>
          <w:lang w:val="sr-Cyrl-RS"/>
        </w:rPr>
      </w:pPr>
    </w:p>
    <w:p w14:paraId="6D43974D" w14:textId="77777777" w:rsidR="00C661D1" w:rsidRPr="00C661D1" w:rsidRDefault="00C661D1" w:rsidP="00C661D1">
      <w:pPr>
        <w:jc w:val="center"/>
        <w:rPr>
          <w:b/>
          <w:sz w:val="32"/>
          <w:szCs w:val="32"/>
          <w:lang w:val="sr-Cyrl-RS"/>
        </w:rPr>
      </w:pPr>
    </w:p>
    <w:p w14:paraId="55105D28" w14:textId="77777777" w:rsidR="00C661D1" w:rsidRPr="00C661D1" w:rsidRDefault="00C661D1" w:rsidP="00C661D1">
      <w:pPr>
        <w:jc w:val="center"/>
        <w:rPr>
          <w:b/>
          <w:sz w:val="32"/>
          <w:szCs w:val="32"/>
          <w:lang w:val="sr-Cyrl-RS"/>
        </w:rPr>
      </w:pPr>
    </w:p>
    <w:p w14:paraId="1FA1A549" w14:textId="40A8BD26" w:rsidR="00AA361B" w:rsidRDefault="00AA361B" w:rsidP="00792E48">
      <w:pPr>
        <w:rPr>
          <w:b/>
          <w:sz w:val="32"/>
          <w:szCs w:val="32"/>
          <w:lang w:val="sr-Cyrl-RS"/>
        </w:rPr>
      </w:pPr>
    </w:p>
    <w:p w14:paraId="246D3133" w14:textId="0C053591" w:rsidR="00792E48" w:rsidRDefault="00792E48" w:rsidP="00792E48">
      <w:pPr>
        <w:rPr>
          <w:b/>
          <w:sz w:val="32"/>
          <w:szCs w:val="32"/>
          <w:lang w:val="sr-Cyrl-RS"/>
        </w:rPr>
      </w:pPr>
    </w:p>
    <w:p w14:paraId="3EE4AC74" w14:textId="77777777" w:rsidR="00792E48" w:rsidRDefault="00792E48" w:rsidP="00792E48">
      <w:pPr>
        <w:rPr>
          <w:b/>
          <w:sz w:val="32"/>
          <w:szCs w:val="32"/>
          <w:lang w:val="sr-Cyrl-RS"/>
        </w:rPr>
      </w:pPr>
    </w:p>
    <w:p w14:paraId="42F2C114" w14:textId="4CD3578D" w:rsidR="00AA361B" w:rsidRDefault="00AA361B" w:rsidP="00C661D1">
      <w:pPr>
        <w:jc w:val="center"/>
        <w:rPr>
          <w:b/>
          <w:sz w:val="32"/>
          <w:szCs w:val="32"/>
          <w:lang w:val="sr-Cyrl-RS"/>
        </w:rPr>
      </w:pPr>
    </w:p>
    <w:p w14:paraId="62D2AD5D" w14:textId="77777777" w:rsidR="00792E48" w:rsidRDefault="00792E48" w:rsidP="00C661D1">
      <w:pPr>
        <w:jc w:val="center"/>
        <w:rPr>
          <w:b/>
          <w:sz w:val="32"/>
          <w:szCs w:val="32"/>
          <w:lang w:val="sr-Cyrl-RS"/>
        </w:rPr>
      </w:pPr>
    </w:p>
    <w:p w14:paraId="12C0343E" w14:textId="1EE50BE0" w:rsidR="00AA361B" w:rsidRPr="00792E48" w:rsidRDefault="00792E48" w:rsidP="00C661D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92E48">
        <w:rPr>
          <w:rFonts w:ascii="Times New Roman" w:hAnsi="Times New Roman" w:cs="Times New Roman"/>
          <w:b/>
          <w:sz w:val="32"/>
          <w:szCs w:val="32"/>
          <w:lang w:val="sr-Cyrl-RS"/>
        </w:rPr>
        <w:t>Број:  178/2022</w:t>
      </w:r>
    </w:p>
    <w:p w14:paraId="01F6C986" w14:textId="0E5EBECF" w:rsidR="00E65B0E" w:rsidRPr="00792E48" w:rsidRDefault="00792E48" w:rsidP="00C661D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92E48">
        <w:rPr>
          <w:rFonts w:ascii="Times New Roman" w:hAnsi="Times New Roman" w:cs="Times New Roman"/>
          <w:b/>
          <w:sz w:val="32"/>
          <w:szCs w:val="32"/>
          <w:lang w:val="sr-Cyrl-RS"/>
        </w:rPr>
        <w:t>Кањижа, 2022.г.</w:t>
      </w:r>
    </w:p>
    <w:p w14:paraId="733B93FE" w14:textId="1D7749E3" w:rsidR="003878AD" w:rsidRDefault="00C661D1" w:rsidP="00792E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19.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родној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РС“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52/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21)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изради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повреде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>. 67/2022),</w:t>
      </w:r>
      <w:r w:rsidR="003878AD" w:rsidRPr="003878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3878AD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директорка  </w:t>
      </w:r>
      <w:r w:rsidR="00E65B0E">
        <w:rPr>
          <w:rFonts w:ascii="Times New Roman" w:hAnsi="Times New Roman" w:cs="Times New Roman"/>
          <w:sz w:val="24"/>
          <w:szCs w:val="24"/>
          <w:lang w:val="sr-Cyrl-RS"/>
        </w:rPr>
        <w:t>Основне</w:t>
      </w:r>
      <w:proofErr w:type="gramEnd"/>
      <w:r w:rsidR="00E65B0E">
        <w:rPr>
          <w:rFonts w:ascii="Times New Roman" w:hAnsi="Times New Roman" w:cs="Times New Roman"/>
          <w:sz w:val="24"/>
          <w:szCs w:val="24"/>
          <w:lang w:val="sr-Cyrl-RS"/>
        </w:rPr>
        <w:t xml:space="preserve"> музичке школе,Кањижа </w:t>
      </w:r>
      <w:r w:rsidR="003878AD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 </w:t>
      </w:r>
    </w:p>
    <w:p w14:paraId="4FA9759A" w14:textId="77777777" w:rsidR="00C661D1" w:rsidRPr="00584083" w:rsidRDefault="00C661D1" w:rsidP="00C66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" w:right="175" w:firstLine="5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117860" w14:textId="77777777" w:rsidR="00C661D1" w:rsidRPr="00104624" w:rsidRDefault="00C661D1" w:rsidP="00C661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104624">
        <w:rPr>
          <w:rFonts w:ascii="Times New Roman" w:hAnsi="Times New Roman" w:cs="Times New Roman"/>
          <w:b/>
          <w:sz w:val="30"/>
          <w:szCs w:val="24"/>
        </w:rPr>
        <w:t xml:space="preserve">П Л А Н </w:t>
      </w:r>
    </w:p>
    <w:p w14:paraId="4043D623" w14:textId="77777777" w:rsidR="00C661D1" w:rsidRPr="00104624" w:rsidRDefault="00C661D1" w:rsidP="00C661D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104624">
        <w:rPr>
          <w:rFonts w:ascii="Times New Roman" w:hAnsi="Times New Roman" w:cs="Times New Roman"/>
          <w:b/>
          <w:sz w:val="30"/>
          <w:szCs w:val="24"/>
        </w:rPr>
        <w:t xml:space="preserve">УПРАВЉАЊА РИЗИЦИМА ОД ПОВРЕДЕ ПРИНЦИПА </w:t>
      </w:r>
    </w:p>
    <w:p w14:paraId="057ADFB3" w14:textId="77777777" w:rsidR="00C661D1" w:rsidRPr="00584083" w:rsidRDefault="00C661D1" w:rsidP="00C66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24">
        <w:rPr>
          <w:rFonts w:ascii="Times New Roman" w:hAnsi="Times New Roman" w:cs="Times New Roman"/>
          <w:b/>
          <w:sz w:val="30"/>
          <w:szCs w:val="24"/>
        </w:rPr>
        <w:t>РОДНЕ РАВНОПРАВНОСТИ</w:t>
      </w:r>
    </w:p>
    <w:p w14:paraId="55E4877B" w14:textId="77777777" w:rsidR="00C661D1" w:rsidRDefault="00C661D1" w:rsidP="00C66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2E4F07" w14:textId="77777777" w:rsidR="00C661D1" w:rsidRPr="00584083" w:rsidRDefault="00C661D1" w:rsidP="00C66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A951C" w14:textId="77777777" w:rsidR="00C661D1" w:rsidRPr="00584083" w:rsidRDefault="00C661D1" w:rsidP="00C66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83">
        <w:rPr>
          <w:rFonts w:ascii="Times New Roman" w:hAnsi="Times New Roman" w:cs="Times New Roman"/>
          <w:b/>
          <w:sz w:val="24"/>
          <w:szCs w:val="24"/>
        </w:rPr>
        <w:t>УВОД</w:t>
      </w:r>
    </w:p>
    <w:p w14:paraId="17573DA6" w14:textId="77777777" w:rsidR="00C661D1" w:rsidRPr="00584083" w:rsidRDefault="00C661D1" w:rsidP="00C66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4C121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равномерно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уравнотежену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слобода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приступу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робама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уважавање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биолошких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културолошки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формираних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приоритета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заснованим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уставним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4AD1CED4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разликовање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неједнако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пропуштање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искључивање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ограничавање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прикривен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блиска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засновано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карактеристикама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у: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политичкој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образовној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медијској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економској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самозапошљавања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потрошача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здравственом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осигурању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социјалном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осигурању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браку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породичним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екологији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спорту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рекреацији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6DF86B90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Непосредна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сличној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радњом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пропуштањем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стављају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стављени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неповољнији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стављени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неповољнији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6E435744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Посредна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неутрална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одредба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пракса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могла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неповољан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поређењу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сличној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објективно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оправдано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законитим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постизање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циља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примерена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нужна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2877B188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неповољније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поступало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другима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углавном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тражили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намеравају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lastRenderedPageBreak/>
        <w:t>због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понудили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намеравају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дискриминаторском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поступању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12E2828E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узнемиравање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понижавајуће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претње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условљавање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сексуално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узнемиравање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сексуално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уцењивање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заснован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говор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мржње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насиље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засновано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карактеристикама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насиље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женама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неједнако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трудноће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породиљског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одсуства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очинства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материнства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родитељства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усвојења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хранитељства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старатељства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неповољнији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третман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одбијања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трпљења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таквог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16B73464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својстава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поједних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својстава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разграничити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вишеструка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разграничити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интерсексијска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D6199A7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појам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значење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планских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интегришу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перспективу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делују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504D6B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планских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спада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перспективе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уродњавања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уравнотежене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заступљености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поступањима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осигуравајућих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друштава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политичких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странака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синдикалних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</w:t>
      </w:r>
      <w:r w:rsidRPr="00654505">
        <w:rPr>
          <w:rFonts w:ascii="Times New Roman" w:hAnsi="Times New Roman" w:cs="Times New Roman"/>
          <w:sz w:val="24"/>
          <w:szCs w:val="24"/>
        </w:rPr>
        <w:t>вноправности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препознао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деловање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>.</w:t>
      </w:r>
    </w:p>
    <w:p w14:paraId="47B6F316" w14:textId="77777777" w:rsidR="00C661D1" w:rsidRPr="00654505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r w:rsidRPr="00654505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37.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прецизирана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послодавци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законима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987E83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укључе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студијских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норматива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материјале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нивоима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искључе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стереотипне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сексистичке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укључе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превазилажења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стереотипа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предрасуда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неговања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узајамног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ненасилног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разрешења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међуљудским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сузбијања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заснованог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интегритет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прилагођен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узрасту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3A5A89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обезбеде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образовним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научним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истраживањима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доприноса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промовисању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превазилажења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стереотипа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AFDF4F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обезбеде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садржаји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студијских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наставног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такви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афирмишу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повећају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видљивост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науци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технолошком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одбрани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816B39D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предузимају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F566AD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интегрисање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препознавање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охрабривање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заснованог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женама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70D01E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ваннаставних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ECDD80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образовним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центрима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школује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кадар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FA3FBB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студијских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наставног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афирмишу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повећавају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видљивост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доприноса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науци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технолошком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6BC6AB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осетљивог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граматичким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родом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уџбеницима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наставном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материјалу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сведочанствима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дипломама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класификацијама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звањима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занимањима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лиценцама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B170E0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процењивање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наставног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аспекта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промоцију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442AA7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оспособљавање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приправника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препознавање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сексуалне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оријентације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инвалидитета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расе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припадности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етничког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порекла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својстава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осетљивости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наставног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наставног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вршњачког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заснованог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женама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девојчицама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250404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предузимање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уравнотежене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заступљености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студијске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стипендирања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целоживотног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информационо-комуникационих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17BB89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предузимање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активног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укључивања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стереотипа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брачног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традиције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друштвено-економских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повећаном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напуштања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824572" w14:textId="77777777" w:rsidR="00C661D1" w:rsidRPr="00654505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505">
        <w:rPr>
          <w:rFonts w:ascii="Times New Roman" w:hAnsi="Times New Roman" w:cs="Times New Roman"/>
          <w:sz w:val="24"/>
          <w:szCs w:val="24"/>
        </w:rPr>
        <w:t xml:space="preserve">(8)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научноистраживачког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укључивања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перспективе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фазе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оцењивања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научноистраживачких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једнаког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истраживачким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тимовима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телима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научноистраживачких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AEF59E" w14:textId="77777777" w:rsidR="00C661D1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дужне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обезбеде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бављење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предузимају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505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654505">
        <w:rPr>
          <w:rFonts w:ascii="Times New Roman" w:hAnsi="Times New Roman" w:cs="Times New Roman"/>
          <w:sz w:val="24"/>
          <w:szCs w:val="24"/>
        </w:rPr>
        <w:t>.</w:t>
      </w:r>
      <w:r w:rsidRPr="003E6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161A7" w14:textId="77777777" w:rsidR="00C661D1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C0070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08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Националној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стратегији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Обезбеђене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претпоставка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безбедног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2.4.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институционалног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нормативног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политичком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животу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рањивих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одлучивању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lastRenderedPageBreak/>
        <w:t>усклађивање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унутрашњој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политичких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странака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синдиката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предузимање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смањио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јаз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обезбедила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уравнотежена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управљачким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надзорним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телима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руководећим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местима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ЈЛС,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изборним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листама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политичким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странкама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синдикатима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успоставиле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претпоставке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рањивих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уважавање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приоритета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обликовања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 7, 10, 26, 47 и 48).</w:t>
      </w:r>
    </w:p>
    <w:p w14:paraId="40098814" w14:textId="77777777" w:rsidR="00C661D1" w:rsidRPr="00584083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6345E" w14:textId="77777777" w:rsidR="00C661D1" w:rsidRPr="00584083" w:rsidRDefault="00C661D1" w:rsidP="00C66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3D078" w14:textId="77777777" w:rsidR="00C661D1" w:rsidRDefault="00C661D1" w:rsidP="00C66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Међународни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акти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оквир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6148A9" w14:textId="77777777" w:rsidR="00C661D1" w:rsidRPr="00584083" w:rsidRDefault="00C661D1" w:rsidP="00C66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којима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заснива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родна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равноправност</w:t>
      </w:r>
      <w:proofErr w:type="spellEnd"/>
    </w:p>
    <w:p w14:paraId="612D56A8" w14:textId="77777777" w:rsidR="00C661D1" w:rsidRPr="00584083" w:rsidRDefault="00C661D1" w:rsidP="00C66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24E03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прихватила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интегрисала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домаћи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правни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глобалном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најзначајнији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Конвенција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тзв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CEDAW),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ратификовала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чијем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периодичне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Комитету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Уједињених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УН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обавезала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конвенција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постизање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специфичним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европских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интеграција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усаглашавање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директивама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тичу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шанси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недискриминације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2006/54/ЕЗ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мушкарце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78/2000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усаглашено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конвенцијама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Декларација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једнакости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принципу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демографије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Европска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конвенција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усвојени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гарантује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органе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оставривању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Устава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јемчи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политику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4083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0D57A0E9" w14:textId="77777777" w:rsidR="00C661D1" w:rsidRPr="00584083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4B99F" w14:textId="77777777" w:rsidR="00C661D1" w:rsidRPr="00584083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204B2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Повеља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Уједињених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нација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4AE4ED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Универзална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декларација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људским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правима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(1948); </w:t>
      </w:r>
    </w:p>
    <w:p w14:paraId="393D1DC8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Европска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повеља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људским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правима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(1950); </w:t>
      </w:r>
    </w:p>
    <w:p w14:paraId="78AC58A5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Међународни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пакт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грађанским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политичким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правима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(1966); </w:t>
      </w:r>
    </w:p>
    <w:p w14:paraId="06D1ADBA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Међународни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пакт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економским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социјалним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културним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правима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(1966); </w:t>
      </w:r>
    </w:p>
    <w:p w14:paraId="35026EBF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Конвенција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правима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(1989)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протоколи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конвенцију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95F5560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Конвенција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правима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особа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инвалидитетом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(2006); </w:t>
      </w:r>
    </w:p>
    <w:p w14:paraId="195B225D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Конвенција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спречавању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тзв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. CEDAW); </w:t>
      </w:r>
    </w:p>
    <w:p w14:paraId="5841FF22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УН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акције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оружје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практичне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разоружање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14:paraId="76E5A1C7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Резолуција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СБУН –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жене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мир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безбедност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1325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(2000), 1820 (2008), 1888 (2009), 1889 (2009), 1906 (2010), 2016 (2013), 2122 (2013); </w:t>
      </w:r>
    </w:p>
    <w:p w14:paraId="627C34BE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Резолуција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ГСУН 65/69 –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Жене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разоружање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неширење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контрола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оружја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2005B21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Пекиншка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декларација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Платформа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акцију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(1995); </w:t>
      </w:r>
    </w:p>
    <w:p w14:paraId="72B4CF5C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Пекинг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+ 15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Пекинг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+ 25 –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Национални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преглед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оствареном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напретку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пекиншке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Декларације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Платформе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акцију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1D83FC7A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Акције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Међународне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конференције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становништву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(1994); </w:t>
      </w:r>
    </w:p>
    <w:p w14:paraId="6B799821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Специјална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сесија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ГСУН: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Жене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2000: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мир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21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век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(2000) –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Миленијумска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декларација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УН A/Res/55/2 (2000); </w:t>
      </w:r>
    </w:p>
    <w:p w14:paraId="32CE1297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Директива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Европе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78/2000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дискриминацији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6ABF436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Директива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2006/54/ЕЗ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принципа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једнаких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мушкарце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жене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запошљавања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занимања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2DC48ECA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Агенда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2030 –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циљеви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одрживог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A/RES/70/1 (2015); </w:t>
      </w:r>
    </w:p>
    <w:p w14:paraId="68A6A6AF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Eвропска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конвенција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људских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слобода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пратећи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протоколи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C557677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Повеља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ЕУ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правима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2016/c 202/025; </w:t>
      </w:r>
    </w:p>
    <w:p w14:paraId="55AEACD7" w14:textId="77777777" w:rsidR="00C661D1" w:rsidRPr="00584083" w:rsidRDefault="00C661D1" w:rsidP="00C66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Бечка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декларација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деловања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(1993);</w:t>
      </w:r>
    </w:p>
    <w:p w14:paraId="29298661" w14:textId="77777777" w:rsidR="00C661D1" w:rsidRPr="00584083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4FBA6" w14:textId="77777777" w:rsidR="00C661D1" w:rsidRPr="00584083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Правни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оквир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06E2EC" w14:textId="77777777" w:rsidR="00C661D1" w:rsidRPr="00584083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C6CD9" w14:textId="77777777" w:rsidR="00C661D1" w:rsidRPr="00584083" w:rsidRDefault="00C661D1" w:rsidP="00C661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мушкараца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обавезује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државу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политику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једнаких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могућности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15),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забрањује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непосредну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посредну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дискриминацију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личном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својству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пол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21.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3),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прописује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могућност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предузимања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посебних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постизања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пуне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неједнаком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положају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осталим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грађанима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21.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4),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једнакост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21.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1),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једнаку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законску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21.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2),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судовима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22.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1),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државним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органима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36.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1)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међународним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институцијама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22.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2),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жалбу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друго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одлучује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његовом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36.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2),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правну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67.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адвокатуре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67.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2)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у ЈЛС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67.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2)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упућује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законско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регулисање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бесплатне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помоћи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67.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3),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рехабилитацију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накнаду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материјалне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нематеријалне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штете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проузроковане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незаконитим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неправилним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радом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државног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35.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2),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јемчи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42),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азила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57),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слободу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одлучивања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склапању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брака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супружника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изједначава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ванбрачне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заједнице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брака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62),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издржавању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васпитању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65),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јемчи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слободу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одлучивања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рађању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63)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посебну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мајки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трудница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самохраних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66)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посебну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здравствену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трудница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мајки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самохраних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децом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седме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финансира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прихода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68)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социјалну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породице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69).</w:t>
      </w:r>
    </w:p>
    <w:p w14:paraId="3D289713" w14:textId="77777777" w:rsidR="00C661D1" w:rsidRPr="00584083" w:rsidRDefault="00C661D1" w:rsidP="00C661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родној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РС“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52/21);</w:t>
      </w:r>
    </w:p>
    <w:p w14:paraId="5938905D" w14:textId="77777777" w:rsidR="00C661D1" w:rsidRPr="00584083" w:rsidRDefault="00C661D1" w:rsidP="00C661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Кривичног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законика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РС“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35/19);</w:t>
      </w:r>
    </w:p>
    <w:p w14:paraId="6A071F2B" w14:textId="77777777" w:rsidR="00C661D1" w:rsidRPr="00584083" w:rsidRDefault="00C661D1" w:rsidP="00C661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забрани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22/09);</w:t>
      </w:r>
    </w:p>
    <w:p w14:paraId="2E43973A" w14:textId="77777777" w:rsidR="00C661D1" w:rsidRPr="00584083" w:rsidRDefault="00C661D1" w:rsidP="00C661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забрани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РС“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22/09 и 52/21);</w:t>
      </w:r>
    </w:p>
    <w:p w14:paraId="720D6768" w14:textId="77777777" w:rsidR="00C661D1" w:rsidRPr="00584083" w:rsidRDefault="00C661D1" w:rsidP="00C661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спречавању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насиља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породици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РС“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94/16);</w:t>
      </w:r>
    </w:p>
    <w:p w14:paraId="0744EABC" w14:textId="77777777" w:rsidR="00C661D1" w:rsidRPr="00584083" w:rsidRDefault="00C661D1" w:rsidP="00C661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полова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РС“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104/09);</w:t>
      </w:r>
    </w:p>
    <w:p w14:paraId="79EDDBC6" w14:textId="77777777" w:rsidR="00C661D1" w:rsidRPr="00584083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544F3" w14:textId="77777777" w:rsidR="00C661D1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Институционални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механизми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постизање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02E83C" w14:textId="77777777" w:rsidR="00C661D1" w:rsidRPr="00584083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083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Републици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Србији</w:t>
      </w:r>
      <w:proofErr w:type="spellEnd"/>
    </w:p>
    <w:p w14:paraId="669403FC" w14:textId="77777777" w:rsidR="00C661D1" w:rsidRPr="00584083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9D19B" w14:textId="77777777" w:rsidR="00C661D1" w:rsidRPr="00584083" w:rsidRDefault="00C661D1" w:rsidP="00C661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Механизми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постизање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поменутог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законодавног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нивоима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акционе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заштитнике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нивоима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:</w:t>
      </w:r>
    </w:p>
    <w:p w14:paraId="119B1934" w14:textId="77777777" w:rsidR="00C661D1" w:rsidRPr="00584083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296F7" w14:textId="77777777" w:rsidR="00C661D1" w:rsidRPr="00584083" w:rsidRDefault="00C661D1" w:rsidP="00C661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родну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саветодавно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РС,</w:t>
      </w:r>
    </w:p>
    <w:p w14:paraId="7806489C" w14:textId="77777777" w:rsidR="00C661D1" w:rsidRPr="00584083" w:rsidRDefault="00C661D1" w:rsidP="00C661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Скупштински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полова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законодавне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41C826F" w14:textId="77777777" w:rsidR="00C661D1" w:rsidRPr="00584083" w:rsidRDefault="00C661D1" w:rsidP="00C661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родну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запошљавање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борачка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социјална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извршни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механизам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државном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C4963E" w14:textId="77777777" w:rsidR="00C661D1" w:rsidRPr="00584083" w:rsidRDefault="00C661D1" w:rsidP="00C661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Заменица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заштитника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родну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4C4B206" w14:textId="5A803C56" w:rsidR="00C661D1" w:rsidRDefault="00C661D1" w:rsidP="00C661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Повереница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978364" w14:textId="77777777" w:rsidR="000A7670" w:rsidRDefault="000A7670" w:rsidP="000A7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BF55A" w14:textId="70BC6BA6" w:rsidR="000A7670" w:rsidRPr="000A7670" w:rsidRDefault="000A7670" w:rsidP="000A7670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ПОДАЦИ О ПОСЛОДАВЦУ</w:t>
      </w:r>
    </w:p>
    <w:p w14:paraId="78EE606D" w14:textId="77777777" w:rsidR="00C661D1" w:rsidRPr="00C661D1" w:rsidRDefault="00C661D1" w:rsidP="00C661D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color w:val="000000"/>
        </w:rPr>
      </w:pPr>
      <w:proofErr w:type="spellStart"/>
      <w:r w:rsidRPr="00C661D1">
        <w:rPr>
          <w:rFonts w:ascii="Times New Roman" w:hAnsi="Times New Roman" w:cs="Times New Roman"/>
          <w:bCs/>
          <w:color w:val="000000"/>
        </w:rPr>
        <w:t>Подаци</w:t>
      </w:r>
      <w:proofErr w:type="spellEnd"/>
      <w:r w:rsidRPr="00C661D1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Pr="00C661D1">
        <w:rPr>
          <w:rFonts w:ascii="Times New Roman" w:hAnsi="Times New Roman" w:cs="Times New Roman"/>
          <w:bCs/>
          <w:color w:val="000000"/>
        </w:rPr>
        <w:t>послодавцу</w:t>
      </w:r>
      <w:proofErr w:type="spellEnd"/>
      <w:r w:rsidRPr="00C661D1">
        <w:rPr>
          <w:rFonts w:ascii="Times New Roman" w:hAnsi="Times New Roman" w:cs="Times New Roman"/>
          <w:bCs/>
          <w:color w:val="000000"/>
        </w:rPr>
        <w:t>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19"/>
        <w:gridCol w:w="2056"/>
        <w:gridCol w:w="1869"/>
      </w:tblGrid>
      <w:tr w:rsidR="00C661D1" w:rsidRPr="00411105" w14:paraId="6DA5DB8F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6240A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послодавца</w:t>
            </w:r>
            <w:proofErr w:type="spellEnd"/>
            <w:r w:rsidRPr="004111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189F1" w14:textId="0107FE18" w:rsidR="00C661D1" w:rsidRPr="00E65B0E" w:rsidRDefault="00C661D1" w:rsidP="0075102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411105">
              <w:rPr>
                <w:rFonts w:ascii="Times New Roman" w:hAnsi="Times New Roman" w:cs="Times New Roman"/>
              </w:rPr>
              <w:t> </w:t>
            </w:r>
            <w:r w:rsidR="00E65B0E">
              <w:rPr>
                <w:rFonts w:ascii="Times New Roman" w:hAnsi="Times New Roman" w:cs="Times New Roman"/>
                <w:lang w:val="sr-Cyrl-RS"/>
              </w:rPr>
              <w:t>Основна музичка школа, Кањижа</w:t>
            </w:r>
          </w:p>
        </w:tc>
      </w:tr>
      <w:tr w:rsidR="00C661D1" w:rsidRPr="00411105" w14:paraId="480C1DA5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4E434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Седиште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послодавца</w:t>
            </w:r>
            <w:proofErr w:type="spellEnd"/>
            <w:r w:rsidRPr="004111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35E0D" w14:textId="34C8C81E" w:rsidR="00C661D1" w:rsidRPr="00E65B0E" w:rsidRDefault="00C661D1" w:rsidP="0075102D">
            <w:pPr>
              <w:rPr>
                <w:rFonts w:ascii="Times New Roman" w:hAnsi="Times New Roman" w:cs="Times New Roman"/>
                <w:lang w:val="sr-Cyrl-RS"/>
              </w:rPr>
            </w:pPr>
            <w:r w:rsidRPr="00411105">
              <w:rPr>
                <w:rFonts w:ascii="Times New Roman" w:hAnsi="Times New Roman" w:cs="Times New Roman"/>
              </w:rPr>
              <w:t> </w:t>
            </w:r>
            <w:r w:rsidR="00E65B0E">
              <w:rPr>
                <w:rFonts w:ascii="Times New Roman" w:hAnsi="Times New Roman" w:cs="Times New Roman"/>
                <w:lang w:val="sr-Cyrl-RS"/>
              </w:rPr>
              <w:t>Кањижа</w:t>
            </w:r>
          </w:p>
        </w:tc>
      </w:tr>
      <w:tr w:rsidR="00C661D1" w:rsidRPr="00411105" w14:paraId="058E70CA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A25C6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Порески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идентификациони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број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(ПИБ):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7E6CF" w14:textId="1A48B056" w:rsidR="00C661D1" w:rsidRPr="00411105" w:rsidRDefault="00C661D1" w:rsidP="0075102D">
            <w:pPr>
              <w:rPr>
                <w:rFonts w:ascii="Times New Roman" w:hAnsi="Times New Roman" w:cs="Times New Roman"/>
                <w:lang w:val="sr-Cyrl-RS"/>
              </w:rPr>
            </w:pPr>
            <w:r w:rsidRPr="0041110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sr-Cyrl-RS"/>
              </w:rPr>
              <w:t>100</w:t>
            </w:r>
            <w:r w:rsidR="00E65B0E">
              <w:rPr>
                <w:rFonts w:ascii="Times New Roman" w:hAnsi="Times New Roman" w:cs="Times New Roman"/>
                <w:lang w:val="sr-Cyrl-RS"/>
              </w:rPr>
              <w:t>870560</w:t>
            </w:r>
          </w:p>
        </w:tc>
      </w:tr>
      <w:tr w:rsidR="00C661D1" w:rsidRPr="00411105" w14:paraId="59246A76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9A3D7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Број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решења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упису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Регистар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привредних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субјеката</w:t>
            </w:r>
            <w:proofErr w:type="spellEnd"/>
            <w:r w:rsidRPr="004111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AD6EF" w14:textId="21BD1965" w:rsidR="00C661D1" w:rsidRPr="00411105" w:rsidRDefault="00565B6D" w:rsidP="0075102D">
            <w:pPr>
              <w:pStyle w:val="uvuceni"/>
              <w:spacing w:after="0"/>
              <w:ind w:left="0" w:firstLine="61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Привредни суд Суботица број рег. Улошка 5-8 Датум уписа 13.08.2001. Фи 1892/2001</w:t>
            </w:r>
          </w:p>
        </w:tc>
      </w:tr>
      <w:tr w:rsidR="00C661D1" w:rsidRPr="00411105" w14:paraId="10ED9BCA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51053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број</w:t>
            </w:r>
            <w:proofErr w:type="spellEnd"/>
            <w:r w:rsidRPr="004111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029B9" w14:textId="56183525" w:rsidR="00C661D1" w:rsidRPr="00E65B0E" w:rsidRDefault="00C661D1" w:rsidP="0075102D">
            <w:pPr>
              <w:rPr>
                <w:rFonts w:ascii="Times New Roman" w:hAnsi="Times New Roman" w:cs="Times New Roman"/>
                <w:lang w:val="sr-Cyrl-RS"/>
              </w:rPr>
            </w:pPr>
            <w:r w:rsidRPr="00411105">
              <w:rPr>
                <w:rFonts w:ascii="Times New Roman" w:hAnsi="Times New Roman" w:cs="Times New Roman"/>
              </w:rPr>
              <w:t> </w:t>
            </w:r>
            <w:r w:rsidR="00E65B0E">
              <w:rPr>
                <w:rFonts w:ascii="Times New Roman" w:hAnsi="Times New Roman" w:cs="Times New Roman"/>
                <w:lang w:val="sr-Cyrl-RS"/>
              </w:rPr>
              <w:t>08733295</w:t>
            </w:r>
          </w:p>
        </w:tc>
      </w:tr>
      <w:tr w:rsidR="00C661D1" w:rsidRPr="00411105" w14:paraId="7EB16F81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5859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Шифра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делатности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послодавца</w:t>
            </w:r>
            <w:proofErr w:type="spellEnd"/>
            <w:r w:rsidRPr="004111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F648E" w14:textId="66D26077" w:rsidR="00C661D1" w:rsidRPr="00E62789" w:rsidRDefault="00C661D1" w:rsidP="00E65B0E">
            <w:pPr>
              <w:spacing w:after="0"/>
              <w:rPr>
                <w:rFonts w:ascii="Times New Roman" w:hAnsi="Times New Roman" w:cs="Times New Roman"/>
                <w:bCs/>
                <w:lang w:val="sr-Cyrl-RS"/>
              </w:rPr>
            </w:pPr>
            <w:r w:rsidRPr="00411105">
              <w:rPr>
                <w:rFonts w:ascii="Times New Roman" w:hAnsi="Times New Roman" w:cs="Times New Roman"/>
                <w:bCs/>
                <w:lang w:val="sr-Cyrl-CS"/>
              </w:rPr>
              <w:t>85.</w:t>
            </w:r>
            <w:r w:rsidR="00E65B0E">
              <w:rPr>
                <w:rFonts w:ascii="Times New Roman" w:hAnsi="Times New Roman" w:cs="Times New Roman"/>
                <w:bCs/>
                <w:lang w:val="sr-Cyrl-CS"/>
              </w:rPr>
              <w:t>2</w:t>
            </w:r>
            <w:r w:rsidRPr="00411105">
              <w:rPr>
                <w:rFonts w:ascii="Times New Roman" w:hAnsi="Times New Roman" w:cs="Times New Roman"/>
                <w:bCs/>
                <w:lang w:val="sr-Cyrl-CS"/>
              </w:rPr>
              <w:t xml:space="preserve">0   </w:t>
            </w:r>
            <w:r w:rsidR="00E62789">
              <w:rPr>
                <w:rFonts w:ascii="Times New Roman" w:hAnsi="Times New Roman" w:cs="Times New Roman"/>
                <w:bCs/>
                <w:lang w:val="hu-HU"/>
              </w:rPr>
              <w:t xml:space="preserve">- </w:t>
            </w:r>
            <w:r w:rsidR="00E62789">
              <w:rPr>
                <w:rFonts w:ascii="Times New Roman" w:hAnsi="Times New Roman" w:cs="Times New Roman"/>
                <w:bCs/>
                <w:lang w:val="sr-Cyrl-RS"/>
              </w:rPr>
              <w:t>основно образовање</w:t>
            </w:r>
          </w:p>
        </w:tc>
      </w:tr>
      <w:tr w:rsidR="00C661D1" w:rsidRPr="00411105" w14:paraId="743ADB4B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F927C" w14:textId="77777777" w:rsidR="00C661D1" w:rsidRPr="00411105" w:rsidRDefault="00C661D1" w:rsidP="0075102D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број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запослених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 xml:space="preserve"> на да 1.</w:t>
            </w:r>
            <w:r>
              <w:rPr>
                <w:rFonts w:ascii="Times New Roman" w:hAnsi="Times New Roman" w:cs="Times New Roman"/>
              </w:rPr>
              <w:t>09</w:t>
            </w:r>
            <w:r w:rsidRPr="00411105">
              <w:rPr>
                <w:rFonts w:ascii="Times New Roman" w:hAnsi="Times New Roman" w:cs="Times New Roman"/>
                <w:lang w:val="sr-Cyrl-RS"/>
              </w:rPr>
              <w:t>.2022. године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ECEA8" w14:textId="3494B9A7" w:rsidR="00C661D1" w:rsidRPr="00411105" w:rsidRDefault="00C661D1" w:rsidP="0075102D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 w:rsidRPr="0041110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411105">
              <w:rPr>
                <w:rFonts w:ascii="Times New Roman" w:hAnsi="Times New Roman" w:cs="Times New Roman"/>
                <w:lang w:val="sr-Cyrl-RS"/>
              </w:rPr>
              <w:t>8 у радном односу</w:t>
            </w:r>
            <w:r w:rsidR="00E62789">
              <w:rPr>
                <w:rFonts w:ascii="Times New Roman" w:hAnsi="Times New Roman" w:cs="Times New Roman"/>
                <w:lang w:val="sr-Cyrl-RS"/>
              </w:rPr>
              <w:t>,</w:t>
            </w:r>
            <w:r w:rsidR="00E65B0E">
              <w:rPr>
                <w:rFonts w:ascii="Times New Roman" w:hAnsi="Times New Roman" w:cs="Times New Roman"/>
                <w:lang w:val="sr-Cyrl-RS"/>
              </w:rPr>
              <w:t xml:space="preserve"> 16 </w:t>
            </w:r>
            <w:r w:rsidRPr="00411105">
              <w:rPr>
                <w:rFonts w:ascii="Times New Roman" w:hAnsi="Times New Roman" w:cs="Times New Roman"/>
                <w:lang w:val="sr-Cyrl-RS"/>
              </w:rPr>
              <w:t xml:space="preserve">на неодређено време и </w:t>
            </w:r>
            <w:r w:rsidR="00E65B0E">
              <w:rPr>
                <w:rFonts w:ascii="Times New Roman" w:hAnsi="Times New Roman" w:cs="Times New Roman"/>
                <w:lang w:val="sr-Cyrl-RS"/>
              </w:rPr>
              <w:t>12</w:t>
            </w:r>
            <w:r w:rsidR="00565B6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11105">
              <w:rPr>
                <w:rFonts w:ascii="Times New Roman" w:hAnsi="Times New Roman" w:cs="Times New Roman"/>
                <w:lang w:val="sr-Cyrl-RS"/>
              </w:rPr>
              <w:t>на одређено време (замене одсутних запослених и попуна упражњених радних места)</w:t>
            </w:r>
          </w:p>
        </w:tc>
      </w:tr>
      <w:tr w:rsidR="00C661D1" w:rsidRPr="00411105" w14:paraId="09B518E7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BCB67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Број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запослених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разврстан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полној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структури</w:t>
            </w:r>
            <w:proofErr w:type="spellEnd"/>
            <w:r w:rsidRPr="004111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B6EB56" w14:textId="5914D627" w:rsidR="00C661D1" w:rsidRPr="00BC472E" w:rsidRDefault="00C661D1" w:rsidP="007510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11105">
              <w:rPr>
                <w:rFonts w:ascii="Times New Roman" w:hAnsi="Times New Roman" w:cs="Times New Roman"/>
              </w:rPr>
              <w:t xml:space="preserve">Ж </w:t>
            </w:r>
            <w:r w:rsidR="00BC472E"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6F0F91" w14:textId="1751F308" w:rsidR="00C661D1" w:rsidRPr="00BC472E" w:rsidRDefault="00C661D1" w:rsidP="007510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11105">
              <w:rPr>
                <w:rFonts w:ascii="Times New Roman" w:hAnsi="Times New Roman" w:cs="Times New Roman"/>
              </w:rPr>
              <w:t xml:space="preserve">М </w:t>
            </w:r>
            <w:r w:rsidR="00BC472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C661D1" w:rsidRPr="00411105" w14:paraId="538A3038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906A0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број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руководећих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радних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4111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CFDE26" w14:textId="77777777" w:rsidR="00C661D1" w:rsidRPr="00411105" w:rsidRDefault="00C661D1" w:rsidP="007510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11105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C661D1" w:rsidRPr="00411105" w14:paraId="6F55FD22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8BB11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Број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руководећих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радних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разврстан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полној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структури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DD7C81" w14:textId="27767DC5" w:rsidR="00C661D1" w:rsidRPr="00411105" w:rsidRDefault="00C661D1" w:rsidP="0075102D">
            <w:pPr>
              <w:jc w:val="center"/>
              <w:rPr>
                <w:rFonts w:ascii="Times New Roman" w:hAnsi="Times New Roman" w:cs="Times New Roman"/>
              </w:rPr>
            </w:pPr>
            <w:r w:rsidRPr="00411105">
              <w:rPr>
                <w:rFonts w:ascii="Times New Roman" w:hAnsi="Times New Roman" w:cs="Times New Roman"/>
              </w:rPr>
              <w:t xml:space="preserve">Ж </w:t>
            </w:r>
            <w:r w:rsidRPr="00411105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FE281E" w14:textId="42B3B600" w:rsidR="00C661D1" w:rsidRPr="00411105" w:rsidRDefault="00C661D1" w:rsidP="0075102D">
            <w:pPr>
              <w:jc w:val="center"/>
              <w:rPr>
                <w:rFonts w:ascii="Times New Roman" w:hAnsi="Times New Roman" w:cs="Times New Roman"/>
              </w:rPr>
            </w:pPr>
            <w:r w:rsidRPr="00411105">
              <w:rPr>
                <w:rFonts w:ascii="Times New Roman" w:hAnsi="Times New Roman" w:cs="Times New Roman"/>
              </w:rPr>
              <w:t xml:space="preserve">М </w:t>
            </w:r>
            <w:r w:rsidRPr="00411105"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C661D1" w:rsidRPr="00411105" w14:paraId="1432E404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CF351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lastRenderedPageBreak/>
              <w:t>Укупан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број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извршилачких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радних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4111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6F4EE8" w14:textId="77777777" w:rsidR="00C661D1" w:rsidRPr="00411105" w:rsidRDefault="00C661D1" w:rsidP="007510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</w:tr>
      <w:tr w:rsidR="00C661D1" w:rsidRPr="00411105" w14:paraId="0876F47E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216BC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Број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извршилачких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радних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разврстан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полној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структури</w:t>
            </w:r>
            <w:proofErr w:type="spellEnd"/>
            <w:r w:rsidRPr="004111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0F2DB8" w14:textId="37136914" w:rsidR="00C661D1" w:rsidRPr="00BC472E" w:rsidRDefault="00C661D1" w:rsidP="007510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11105">
              <w:rPr>
                <w:rFonts w:ascii="Times New Roman" w:hAnsi="Times New Roman" w:cs="Times New Roman"/>
              </w:rPr>
              <w:t xml:space="preserve">Ж </w:t>
            </w:r>
            <w:r w:rsidR="00BC472E"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59DCC2" w14:textId="6133D69D" w:rsidR="00C661D1" w:rsidRPr="00411105" w:rsidRDefault="00C661D1" w:rsidP="007510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1105">
              <w:rPr>
                <w:rFonts w:ascii="Times New Roman" w:hAnsi="Times New Roman" w:cs="Times New Roman"/>
              </w:rPr>
              <w:t xml:space="preserve">М </w:t>
            </w:r>
            <w:r w:rsidR="000066F7">
              <w:rPr>
                <w:rFonts w:ascii="Times New Roman" w:hAnsi="Times New Roman" w:cs="Times New Roman"/>
              </w:rPr>
              <w:t xml:space="preserve"> </w:t>
            </w:r>
            <w:r w:rsidR="00BC472E">
              <w:rPr>
                <w:rFonts w:ascii="Times New Roman" w:hAnsi="Times New Roman" w:cs="Times New Roman"/>
                <w:lang w:val="sr-Cyrl-RS"/>
              </w:rPr>
              <w:t>4</w:t>
            </w:r>
            <w:proofErr w:type="gramEnd"/>
          </w:p>
        </w:tc>
      </w:tr>
      <w:tr w:rsidR="00C661D1" w:rsidRPr="00411105" w14:paraId="369DF350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E3C8C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Број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истоветних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радних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општем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акту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послодавца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на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су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истовремено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запослена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оба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пола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постоји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разлика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висини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нето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зарада</w:t>
            </w:r>
            <w:proofErr w:type="spellEnd"/>
            <w:r w:rsidRPr="004111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B5983C" w14:textId="77777777" w:rsidR="00C661D1" w:rsidRPr="00411105" w:rsidRDefault="00C661D1" w:rsidP="007510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11105">
              <w:rPr>
                <w:rFonts w:ascii="Times New Roman" w:hAnsi="Times New Roman" w:cs="Times New Roman"/>
                <w:lang w:val="sr-Cyrl-RS"/>
              </w:rPr>
              <w:t>Нема разлике у заради</w:t>
            </w:r>
          </w:p>
        </w:tc>
      </w:tr>
      <w:tr w:rsidR="00C661D1" w:rsidRPr="00411105" w14:paraId="140BA672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C22C5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број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запослених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који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ће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бити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упућени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на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стручно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усавршавање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или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обуку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у </w:t>
            </w:r>
            <w:r w:rsidRPr="00411105">
              <w:rPr>
                <w:rFonts w:ascii="Times New Roman" w:hAnsi="Times New Roman" w:cs="Times New Roman"/>
                <w:lang w:val="sr-Cyrl-RS"/>
              </w:rPr>
              <w:t xml:space="preserve">2022/2023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полној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структури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запослених</w:t>
            </w:r>
            <w:proofErr w:type="spellEnd"/>
            <w:r w:rsidRPr="004111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1ED02E" w14:textId="715A3CE1" w:rsidR="00C661D1" w:rsidRPr="00E62789" w:rsidRDefault="00C661D1" w:rsidP="007510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11105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Pr="00411105">
              <w:rPr>
                <w:rFonts w:ascii="Times New Roman" w:hAnsi="Times New Roman" w:cs="Times New Roman"/>
              </w:rPr>
              <w:t xml:space="preserve">Ж </w:t>
            </w:r>
            <w:r w:rsidR="00E62789"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257524" w14:textId="4CCED2B1" w:rsidR="00C661D1" w:rsidRPr="00411105" w:rsidRDefault="00C661D1" w:rsidP="0075102D">
            <w:pPr>
              <w:jc w:val="center"/>
              <w:rPr>
                <w:rFonts w:ascii="Times New Roman" w:hAnsi="Times New Roman" w:cs="Times New Roman"/>
              </w:rPr>
            </w:pPr>
            <w:r w:rsidRPr="00411105">
              <w:rPr>
                <w:rFonts w:ascii="Times New Roman" w:hAnsi="Times New Roman" w:cs="Times New Roman"/>
              </w:rPr>
              <w:t xml:space="preserve">М </w:t>
            </w:r>
            <w:r w:rsidR="00E62789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C661D1" w:rsidRPr="00411105" w14:paraId="39AE0E40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D1804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Укупан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број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планираних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за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примање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радни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однос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у </w:t>
            </w:r>
            <w:r w:rsidRPr="00411105">
              <w:rPr>
                <w:rFonts w:ascii="Times New Roman" w:hAnsi="Times New Roman" w:cs="Times New Roman"/>
                <w:lang w:val="sr-Cyrl-RS"/>
              </w:rPr>
              <w:t>2022/2023</w:t>
            </w:r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полној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структури</w:t>
            </w:r>
            <w:proofErr w:type="spellEnd"/>
            <w:r w:rsidRPr="004111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8F1890" w14:textId="77777777" w:rsidR="00C661D1" w:rsidRPr="00411105" w:rsidRDefault="00C661D1" w:rsidP="007510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11105">
              <w:rPr>
                <w:rFonts w:ascii="Times New Roman" w:hAnsi="Times New Roman" w:cs="Times New Roman"/>
                <w:lang w:val="sr-Cyrl-RS"/>
              </w:rPr>
              <w:t>Пријем у радни однос није условљен полном структуром</w:t>
            </w:r>
          </w:p>
        </w:tc>
      </w:tr>
      <w:tr w:rsidR="00C661D1" w:rsidRPr="00411105" w14:paraId="2E6F81AE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58118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Број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жена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које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ће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се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вратити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на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рад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у </w:t>
            </w:r>
            <w:r w:rsidRPr="00411105">
              <w:rPr>
                <w:rFonts w:ascii="Times New Roman" w:hAnsi="Times New Roman" w:cs="Times New Roman"/>
                <w:lang w:val="sr-Cyrl-RS"/>
              </w:rPr>
              <w:t>2022/2023</w:t>
            </w:r>
            <w:r w:rsidRPr="004111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које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су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користиле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породиљско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одсуство</w:t>
            </w:r>
            <w:proofErr w:type="spellEnd"/>
            <w:r w:rsidRPr="0041110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165961" w14:textId="49734929" w:rsidR="00C661D1" w:rsidRPr="00411105" w:rsidRDefault="00E62789" w:rsidP="007510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C661D1" w:rsidRPr="00411105" w14:paraId="57AE7914" w14:textId="77777777" w:rsidTr="0075102D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EC6D6" w14:textId="77777777" w:rsidR="00C661D1" w:rsidRPr="00411105" w:rsidRDefault="00C661D1" w:rsidP="0075102D">
            <w:pPr>
              <w:rPr>
                <w:rFonts w:ascii="Times New Roman" w:hAnsi="Times New Roman" w:cs="Times New Roman"/>
              </w:rPr>
            </w:pPr>
            <w:proofErr w:type="spellStart"/>
            <w:r w:rsidRPr="00411105">
              <w:rPr>
                <w:rFonts w:ascii="Times New Roman" w:hAnsi="Times New Roman" w:cs="Times New Roman"/>
              </w:rPr>
              <w:t>Број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радних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општем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акту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за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која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постоји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оправдана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потреба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прављења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разлика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полу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са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законом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којим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се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уређује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рад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11105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која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се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природи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посла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везују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за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одређени</w:t>
            </w:r>
            <w:proofErr w:type="spellEnd"/>
            <w:r w:rsidRPr="004111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1105">
              <w:rPr>
                <w:rFonts w:ascii="Times New Roman" w:hAnsi="Times New Roman" w:cs="Times New Roman"/>
              </w:rPr>
              <w:t>пол</w:t>
            </w:r>
            <w:proofErr w:type="spellEnd"/>
            <w:r w:rsidRPr="0041110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EA2F5" w14:textId="77777777" w:rsidR="00C661D1" w:rsidRPr="00411105" w:rsidRDefault="00C661D1" w:rsidP="0075102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62789">
              <w:rPr>
                <w:rFonts w:ascii="Times New Roman" w:hAnsi="Times New Roman" w:cs="Times New Roman"/>
                <w:lang w:val="sr-Cyrl-RS"/>
              </w:rPr>
              <w:t>Нема радних места за која постоји ОПРАВДАНА потреба прављења разлике према полу</w:t>
            </w:r>
          </w:p>
        </w:tc>
      </w:tr>
    </w:tbl>
    <w:p w14:paraId="72B99857" w14:textId="77777777" w:rsidR="00C661D1" w:rsidRPr="00C661D1" w:rsidRDefault="00C661D1" w:rsidP="00C661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4"/>
        <w:gridCol w:w="4640"/>
      </w:tblGrid>
      <w:tr w:rsidR="00C661D1" w:rsidRPr="00C661D1" w14:paraId="6E4C748E" w14:textId="77777777" w:rsidTr="0075102D">
        <w:tc>
          <w:tcPr>
            <w:tcW w:w="3554" w:type="dxa"/>
          </w:tcPr>
          <w:p w14:paraId="55164926" w14:textId="77777777" w:rsidR="00C661D1" w:rsidRPr="00C661D1" w:rsidRDefault="00C661D1" w:rsidP="00C661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Пун  назив Установе  </w:t>
            </w:r>
          </w:p>
        </w:tc>
        <w:tc>
          <w:tcPr>
            <w:tcW w:w="4640" w:type="dxa"/>
          </w:tcPr>
          <w:p w14:paraId="53012745" w14:textId="294CD360" w:rsidR="00C661D1" w:rsidRPr="00C661D1" w:rsidRDefault="00BC472E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Основна музичка школа, Кањижа</w:t>
            </w:r>
            <w:r w:rsidR="00C661D1"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661D1" w:rsidRPr="00C661D1" w14:paraId="02C639B7" w14:textId="77777777" w:rsidTr="0075102D">
        <w:tc>
          <w:tcPr>
            <w:tcW w:w="3554" w:type="dxa"/>
          </w:tcPr>
          <w:p w14:paraId="06205A69" w14:textId="77777777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Седиште</w:t>
            </w:r>
          </w:p>
        </w:tc>
        <w:tc>
          <w:tcPr>
            <w:tcW w:w="4640" w:type="dxa"/>
          </w:tcPr>
          <w:p w14:paraId="22391423" w14:textId="00B9D2A7" w:rsidR="00C661D1" w:rsidRPr="00C661D1" w:rsidRDefault="00BC472E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24420</w:t>
            </w:r>
            <w:r w:rsidR="00C661D1"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Кањижа</w:t>
            </w:r>
            <w:r w:rsidR="00C661D1"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661D1" w:rsidRPr="00C661D1" w14:paraId="4FC86315" w14:textId="77777777" w:rsidTr="0075102D">
        <w:tc>
          <w:tcPr>
            <w:tcW w:w="3554" w:type="dxa"/>
          </w:tcPr>
          <w:p w14:paraId="09A0E166" w14:textId="77777777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640" w:type="dxa"/>
          </w:tcPr>
          <w:p w14:paraId="7BF3B735" w14:textId="06F043F7" w:rsidR="00C661D1" w:rsidRPr="00C661D1" w:rsidRDefault="00BC472E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Николе Тесле</w:t>
            </w:r>
            <w:r w:rsidR="00C661D1"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бр.2 </w:t>
            </w:r>
          </w:p>
        </w:tc>
      </w:tr>
      <w:tr w:rsidR="00C661D1" w:rsidRPr="00C661D1" w14:paraId="20C77A97" w14:textId="77777777" w:rsidTr="0075102D">
        <w:tc>
          <w:tcPr>
            <w:tcW w:w="3554" w:type="dxa"/>
          </w:tcPr>
          <w:p w14:paraId="558DEA7A" w14:textId="77777777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640" w:type="dxa"/>
          </w:tcPr>
          <w:p w14:paraId="40693FF5" w14:textId="3D25EAB5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100</w:t>
            </w:r>
            <w:r w:rsidR="00BC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870560</w:t>
            </w:r>
          </w:p>
        </w:tc>
      </w:tr>
      <w:tr w:rsidR="00C661D1" w:rsidRPr="00C661D1" w14:paraId="106F7112" w14:textId="77777777" w:rsidTr="0075102D">
        <w:tc>
          <w:tcPr>
            <w:tcW w:w="3554" w:type="dxa"/>
          </w:tcPr>
          <w:p w14:paraId="1FB6AB81" w14:textId="77777777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640" w:type="dxa"/>
          </w:tcPr>
          <w:p w14:paraId="3DDE33A1" w14:textId="5CF69845" w:rsidR="00C661D1" w:rsidRPr="00C661D1" w:rsidRDefault="00BC472E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08733295</w:t>
            </w:r>
          </w:p>
        </w:tc>
      </w:tr>
      <w:tr w:rsidR="00C661D1" w:rsidRPr="00C661D1" w14:paraId="01F0663F" w14:textId="77777777" w:rsidTr="0075102D">
        <w:tc>
          <w:tcPr>
            <w:tcW w:w="3554" w:type="dxa"/>
          </w:tcPr>
          <w:p w14:paraId="1E518141" w14:textId="77777777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Регистарски број</w:t>
            </w:r>
          </w:p>
        </w:tc>
        <w:tc>
          <w:tcPr>
            <w:tcW w:w="4640" w:type="dxa"/>
          </w:tcPr>
          <w:p w14:paraId="37D8598E" w14:textId="552BFA10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661D1" w:rsidRPr="00C661D1" w14:paraId="2BD81EF0" w14:textId="77777777" w:rsidTr="0075102D">
        <w:tc>
          <w:tcPr>
            <w:tcW w:w="3554" w:type="dxa"/>
          </w:tcPr>
          <w:p w14:paraId="7E8F2133" w14:textId="77777777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Шифра  делатности</w:t>
            </w:r>
          </w:p>
        </w:tc>
        <w:tc>
          <w:tcPr>
            <w:tcW w:w="4640" w:type="dxa"/>
          </w:tcPr>
          <w:p w14:paraId="53F9A913" w14:textId="1C4C4CA7" w:rsidR="00C661D1" w:rsidRPr="00BC472E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8</w:t>
            </w:r>
            <w:r w:rsidR="00BC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5</w:t>
            </w: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C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C661D1" w:rsidRPr="00C661D1" w14:paraId="3A2A35C7" w14:textId="77777777" w:rsidTr="0075102D">
        <w:tc>
          <w:tcPr>
            <w:tcW w:w="3554" w:type="dxa"/>
          </w:tcPr>
          <w:p w14:paraId="1D279948" w14:textId="114B1806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На</w:t>
            </w:r>
            <w:r w:rsidR="00E6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</w:t>
            </w: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ив пословне банке:</w:t>
            </w:r>
          </w:p>
        </w:tc>
        <w:tc>
          <w:tcPr>
            <w:tcW w:w="4640" w:type="dxa"/>
          </w:tcPr>
          <w:p w14:paraId="13302C8F" w14:textId="77777777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661D1" w:rsidRPr="00C661D1" w14:paraId="6CB5C8A1" w14:textId="77777777" w:rsidTr="0075102D">
        <w:tc>
          <w:tcPr>
            <w:tcW w:w="3554" w:type="dxa"/>
          </w:tcPr>
          <w:p w14:paraId="005DE63E" w14:textId="1E848920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Управа за јавна плаћања</w:t>
            </w:r>
            <w:r w:rsidR="00E6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Суботица филијала Кањижа</w:t>
            </w:r>
          </w:p>
        </w:tc>
        <w:tc>
          <w:tcPr>
            <w:tcW w:w="4640" w:type="dxa"/>
          </w:tcPr>
          <w:p w14:paraId="2D568EEC" w14:textId="07FCF9E9" w:rsidR="00C661D1" w:rsidRPr="00BC472E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840-</w:t>
            </w:r>
            <w:r w:rsidR="00BC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1419660</w:t>
            </w: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C661D1" w:rsidRPr="00C661D1" w14:paraId="18C66F03" w14:textId="77777777" w:rsidTr="0075102D">
        <w:tc>
          <w:tcPr>
            <w:tcW w:w="355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8"/>
            </w:tblGrid>
            <w:tr w:rsidR="00C661D1" w:rsidRPr="00C661D1" w14:paraId="3D0616AE" w14:textId="77777777" w:rsidTr="0075102D">
              <w:trPr>
                <w:trHeight w:val="401"/>
              </w:trPr>
              <w:tc>
                <w:tcPr>
                  <w:tcW w:w="3328" w:type="dxa"/>
                </w:tcPr>
                <w:p w14:paraId="14DEA900" w14:textId="77777777" w:rsidR="00C661D1" w:rsidRPr="00C661D1" w:rsidRDefault="00C661D1" w:rsidP="00C661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1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Број телефона</w:t>
                  </w:r>
                </w:p>
              </w:tc>
            </w:tr>
            <w:tr w:rsidR="00C661D1" w:rsidRPr="00C661D1" w14:paraId="03532F73" w14:textId="77777777" w:rsidTr="0075102D">
              <w:trPr>
                <w:trHeight w:val="401"/>
              </w:trPr>
              <w:tc>
                <w:tcPr>
                  <w:tcW w:w="3328" w:type="dxa"/>
                </w:tcPr>
                <w:p w14:paraId="5FD1811D" w14:textId="77777777" w:rsidR="00C661D1" w:rsidRPr="00C661D1" w:rsidRDefault="00C661D1" w:rsidP="00C661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6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ЕМАИЛ</w:t>
                  </w:r>
                </w:p>
              </w:tc>
            </w:tr>
          </w:tbl>
          <w:p w14:paraId="7A85B642" w14:textId="77777777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40" w:type="dxa"/>
          </w:tcPr>
          <w:p w14:paraId="5CC7E39F" w14:textId="2DCB83C7" w:rsidR="00BC472E" w:rsidRDefault="00BC472E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>024 4 874 371, 062 211 973</w:t>
            </w:r>
          </w:p>
          <w:p w14:paraId="35C90A49" w14:textId="77777777" w:rsidR="00BC472E" w:rsidRDefault="00BC472E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</w:p>
          <w:p w14:paraId="342C0B9E" w14:textId="2D7CEE58" w:rsidR="00C661D1" w:rsidRPr="00BC472E" w:rsidRDefault="000066F7" w:rsidP="00BC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muzicka.kanjiza@gmail.com</w:t>
            </w:r>
          </w:p>
        </w:tc>
      </w:tr>
      <w:tr w:rsidR="00C661D1" w:rsidRPr="00C661D1" w14:paraId="6CCB63EE" w14:textId="77777777" w:rsidTr="0075102D">
        <w:tc>
          <w:tcPr>
            <w:tcW w:w="3554" w:type="dxa"/>
          </w:tcPr>
          <w:p w14:paraId="0F9D8BED" w14:textId="77777777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40" w:type="dxa"/>
          </w:tcPr>
          <w:p w14:paraId="2A0DC1AA" w14:textId="77777777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C661D1" w:rsidRPr="00C661D1" w14:paraId="32DAE431" w14:textId="77777777" w:rsidTr="0075102D">
        <w:tc>
          <w:tcPr>
            <w:tcW w:w="3554" w:type="dxa"/>
          </w:tcPr>
          <w:p w14:paraId="51C5A51C" w14:textId="77777777" w:rsidR="00C661D1" w:rsidRPr="00C661D1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Име и презиме овлашћеног лица</w:t>
            </w:r>
          </w:p>
        </w:tc>
        <w:tc>
          <w:tcPr>
            <w:tcW w:w="4640" w:type="dxa"/>
          </w:tcPr>
          <w:p w14:paraId="265C028F" w14:textId="0FA5892E" w:rsidR="00C661D1" w:rsidRPr="00BC472E" w:rsidRDefault="00C661D1" w:rsidP="00C6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C66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 Ј</w:t>
            </w:r>
            <w:r w:rsidR="00BC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удит </w:t>
            </w:r>
            <w:r w:rsidR="00E6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BC4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ћимчев</w:t>
            </w:r>
          </w:p>
        </w:tc>
      </w:tr>
    </w:tbl>
    <w:p w14:paraId="12710724" w14:textId="32AA833D" w:rsidR="00C661D1" w:rsidRDefault="00C661D1" w:rsidP="00C661D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798723" w14:textId="1B422A9A" w:rsidR="000066F7" w:rsidRDefault="000066F7" w:rsidP="00C661D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69041A" w14:textId="77777777" w:rsidR="000066F7" w:rsidRPr="00C661D1" w:rsidRDefault="000066F7" w:rsidP="00C661D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985474" w14:textId="77777777" w:rsidR="00C661D1" w:rsidRPr="00C661D1" w:rsidRDefault="00C661D1" w:rsidP="00C661D1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661D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УКУПАН БРОЈ ЗАПОСЛЕНИХ ПО ПОЛНОЈ СТРУКТУРИ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27"/>
        <w:gridCol w:w="4463"/>
      </w:tblGrid>
      <w:tr w:rsidR="00C661D1" w:rsidRPr="00C661D1" w14:paraId="1197D7F7" w14:textId="77777777" w:rsidTr="0075102D">
        <w:tc>
          <w:tcPr>
            <w:tcW w:w="4788" w:type="dxa"/>
          </w:tcPr>
          <w:p w14:paraId="16ECBBDD" w14:textId="77777777" w:rsidR="00C661D1" w:rsidRPr="00C661D1" w:rsidRDefault="00C661D1" w:rsidP="00C661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61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МУШКАРЦИ</w:t>
            </w:r>
          </w:p>
        </w:tc>
        <w:tc>
          <w:tcPr>
            <w:tcW w:w="4788" w:type="dxa"/>
          </w:tcPr>
          <w:p w14:paraId="12EFB8F9" w14:textId="77777777" w:rsidR="00C661D1" w:rsidRPr="00C661D1" w:rsidRDefault="00C661D1" w:rsidP="00C661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61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ЖЕНЕ</w:t>
            </w:r>
          </w:p>
        </w:tc>
      </w:tr>
      <w:tr w:rsidR="00C661D1" w:rsidRPr="00C661D1" w14:paraId="1D27A486" w14:textId="77777777" w:rsidTr="0075102D">
        <w:tc>
          <w:tcPr>
            <w:tcW w:w="4788" w:type="dxa"/>
          </w:tcPr>
          <w:p w14:paraId="0944D85B" w14:textId="49DF8138" w:rsidR="00C661D1" w:rsidRPr="00C661D1" w:rsidRDefault="00BC472E" w:rsidP="00C661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788" w:type="dxa"/>
          </w:tcPr>
          <w:p w14:paraId="312CC252" w14:textId="5A768EB8" w:rsidR="00C661D1" w:rsidRPr="00C661D1" w:rsidRDefault="00C661D1" w:rsidP="00C661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61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BC47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</w:tbl>
    <w:p w14:paraId="14DF6F44" w14:textId="77777777" w:rsidR="00C661D1" w:rsidRPr="00C661D1" w:rsidRDefault="00C661D1" w:rsidP="00C661D1">
      <w:pPr>
        <w:ind w:left="36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BC3B39" w14:textId="77777777" w:rsidR="00C661D1" w:rsidRPr="00C661D1" w:rsidRDefault="00C661D1" w:rsidP="00C661D1">
      <w:pPr>
        <w:ind w:left="36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38EA67" w14:textId="77777777" w:rsidR="00C661D1" w:rsidRPr="00C661D1" w:rsidRDefault="00C661D1" w:rsidP="00C661D1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C661D1">
        <w:rPr>
          <w:rFonts w:ascii="Times New Roman" w:hAnsi="Times New Roman" w:cs="Times New Roman"/>
          <w:sz w:val="24"/>
          <w:szCs w:val="24"/>
          <w:lang w:val="sr-Cyrl-RS"/>
        </w:rPr>
        <w:t>УКУПАН БРОЈ РУКОВОДЕЋИХ И ИЗВРШИЛАЋКИХ РАДНИХ МЕСТА ПО ПОЛНОЈ СТРУКТУРИ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3"/>
        <w:gridCol w:w="2231"/>
        <w:gridCol w:w="2269"/>
        <w:gridCol w:w="2217"/>
      </w:tblGrid>
      <w:tr w:rsidR="00C661D1" w:rsidRPr="00C661D1" w14:paraId="7CC15082" w14:textId="77777777" w:rsidTr="0075102D">
        <w:tc>
          <w:tcPr>
            <w:tcW w:w="2311" w:type="dxa"/>
          </w:tcPr>
          <w:p w14:paraId="5C852C16" w14:textId="77777777" w:rsidR="00C661D1" w:rsidRPr="00C661D1" w:rsidRDefault="00C661D1" w:rsidP="00C661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61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МУШКАРЦИ        </w:t>
            </w:r>
          </w:p>
        </w:tc>
        <w:tc>
          <w:tcPr>
            <w:tcW w:w="2312" w:type="dxa"/>
          </w:tcPr>
          <w:p w14:paraId="7BF92A72" w14:textId="77777777" w:rsidR="00C661D1" w:rsidRPr="00C661D1" w:rsidRDefault="00C661D1" w:rsidP="00C661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61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ЖЕНЕ</w:t>
            </w:r>
          </w:p>
        </w:tc>
        <w:tc>
          <w:tcPr>
            <w:tcW w:w="2296" w:type="dxa"/>
          </w:tcPr>
          <w:p w14:paraId="20DE622F" w14:textId="77777777" w:rsidR="00C661D1" w:rsidRPr="00C661D1" w:rsidRDefault="00C661D1" w:rsidP="00C661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61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МУШКАРАЦИ</w:t>
            </w:r>
          </w:p>
        </w:tc>
        <w:tc>
          <w:tcPr>
            <w:tcW w:w="2297" w:type="dxa"/>
          </w:tcPr>
          <w:p w14:paraId="0E6967D7" w14:textId="77777777" w:rsidR="00C661D1" w:rsidRPr="00C661D1" w:rsidRDefault="00C661D1" w:rsidP="00C661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61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ЖЕНЕ</w:t>
            </w:r>
          </w:p>
        </w:tc>
      </w:tr>
      <w:tr w:rsidR="00C661D1" w:rsidRPr="00C661D1" w14:paraId="2125ADBB" w14:textId="77777777" w:rsidTr="0075102D">
        <w:tc>
          <w:tcPr>
            <w:tcW w:w="2311" w:type="dxa"/>
          </w:tcPr>
          <w:p w14:paraId="1F3A8E47" w14:textId="77777777" w:rsidR="00C661D1" w:rsidRPr="00C661D1" w:rsidRDefault="00C661D1" w:rsidP="00C661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61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312" w:type="dxa"/>
          </w:tcPr>
          <w:p w14:paraId="247107CC" w14:textId="77777777" w:rsidR="00C661D1" w:rsidRPr="00C661D1" w:rsidRDefault="00C661D1" w:rsidP="00C661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61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96" w:type="dxa"/>
          </w:tcPr>
          <w:p w14:paraId="1F44D3F6" w14:textId="7B6D46DA" w:rsidR="00C661D1" w:rsidRPr="00C661D1" w:rsidRDefault="00BC472E" w:rsidP="00C661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297" w:type="dxa"/>
          </w:tcPr>
          <w:p w14:paraId="2E843659" w14:textId="1016A0AC" w:rsidR="00C661D1" w:rsidRPr="00C661D1" w:rsidRDefault="00C661D1" w:rsidP="00C661D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661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BC47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</w:tbl>
    <w:p w14:paraId="3D8697A8" w14:textId="77777777" w:rsidR="00C661D1" w:rsidRDefault="00C661D1" w:rsidP="00C661D1">
      <w:pPr>
        <w:ind w:left="36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74CEC3" w14:textId="77777777" w:rsidR="00631363" w:rsidRPr="00F46FCE" w:rsidRDefault="00631363" w:rsidP="00C661D1">
      <w:pPr>
        <w:ind w:left="36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2CFAA9" w14:textId="77777777" w:rsidR="00631363" w:rsidRPr="00F46FCE" w:rsidRDefault="00631363" w:rsidP="00631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46FC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1.3.Структура запослених установе према стеченом нивоу образовања </w:t>
      </w:r>
    </w:p>
    <w:p w14:paraId="2B990DEC" w14:textId="77777777" w:rsidR="00631363" w:rsidRPr="00631363" w:rsidRDefault="00631363" w:rsidP="00631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"/>
        <w:gridCol w:w="846"/>
        <w:gridCol w:w="844"/>
        <w:gridCol w:w="845"/>
        <w:gridCol w:w="843"/>
        <w:gridCol w:w="843"/>
        <w:gridCol w:w="842"/>
        <w:gridCol w:w="845"/>
        <w:gridCol w:w="843"/>
        <w:gridCol w:w="893"/>
        <w:gridCol w:w="840"/>
      </w:tblGrid>
      <w:tr w:rsidR="00631363" w:rsidRPr="00631363" w14:paraId="5155DD6A" w14:textId="77777777" w:rsidTr="00B70320">
        <w:tc>
          <w:tcPr>
            <w:tcW w:w="866" w:type="dxa"/>
            <w:vMerge w:val="restart"/>
          </w:tcPr>
          <w:p w14:paraId="29B7D933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0" w:type="dxa"/>
            <w:gridSpan w:val="2"/>
          </w:tcPr>
          <w:p w14:paraId="0D14316D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1688" w:type="dxa"/>
            <w:gridSpan w:val="2"/>
          </w:tcPr>
          <w:p w14:paraId="5AB8E967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1685" w:type="dxa"/>
            <w:gridSpan w:val="2"/>
          </w:tcPr>
          <w:p w14:paraId="02DF0736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Виша школа</w:t>
            </w:r>
          </w:p>
        </w:tc>
        <w:tc>
          <w:tcPr>
            <w:tcW w:w="1688" w:type="dxa"/>
            <w:gridSpan w:val="2"/>
          </w:tcPr>
          <w:p w14:paraId="41246095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Факултет</w:t>
            </w:r>
          </w:p>
        </w:tc>
        <w:tc>
          <w:tcPr>
            <w:tcW w:w="1733" w:type="dxa"/>
            <w:gridSpan w:val="2"/>
          </w:tcPr>
          <w:p w14:paraId="2B9A164A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Доктор наука</w:t>
            </w:r>
          </w:p>
        </w:tc>
      </w:tr>
      <w:tr w:rsidR="00631363" w:rsidRPr="00631363" w14:paraId="45961A2F" w14:textId="77777777" w:rsidTr="00B70320">
        <w:tc>
          <w:tcPr>
            <w:tcW w:w="866" w:type="dxa"/>
            <w:vMerge/>
          </w:tcPr>
          <w:p w14:paraId="661BFEC0" w14:textId="77777777" w:rsidR="00631363" w:rsidRPr="00631363" w:rsidRDefault="00631363" w:rsidP="0063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46" w:type="dxa"/>
          </w:tcPr>
          <w:p w14:paraId="5B090462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844" w:type="dxa"/>
          </w:tcPr>
          <w:p w14:paraId="03FA0E61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845" w:type="dxa"/>
          </w:tcPr>
          <w:p w14:paraId="2B064C7F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843" w:type="dxa"/>
          </w:tcPr>
          <w:p w14:paraId="2BB172E3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843" w:type="dxa"/>
          </w:tcPr>
          <w:p w14:paraId="519144A2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842" w:type="dxa"/>
          </w:tcPr>
          <w:p w14:paraId="4D02D058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845" w:type="dxa"/>
          </w:tcPr>
          <w:p w14:paraId="7FFFA378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843" w:type="dxa"/>
          </w:tcPr>
          <w:p w14:paraId="0D2F3B31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893" w:type="dxa"/>
          </w:tcPr>
          <w:p w14:paraId="67FE7F5F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840" w:type="dxa"/>
          </w:tcPr>
          <w:p w14:paraId="29693EAC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631363" w:rsidRPr="00631363" w14:paraId="7C868D2A" w14:textId="77777777" w:rsidTr="00B70320">
        <w:tc>
          <w:tcPr>
            <w:tcW w:w="866" w:type="dxa"/>
            <w:vMerge w:val="restart"/>
          </w:tcPr>
          <w:p w14:paraId="2A7764C7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4161E8C1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846" w:type="dxa"/>
          </w:tcPr>
          <w:p w14:paraId="642B125F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44" w:type="dxa"/>
          </w:tcPr>
          <w:p w14:paraId="636CB3AE" w14:textId="3B75EB63" w:rsidR="00631363" w:rsidRPr="00631363" w:rsidRDefault="00E62789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45" w:type="dxa"/>
          </w:tcPr>
          <w:p w14:paraId="5C360D00" w14:textId="24AB1E98" w:rsidR="00631363" w:rsidRPr="00631363" w:rsidRDefault="00E62789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43" w:type="dxa"/>
          </w:tcPr>
          <w:p w14:paraId="209D9D55" w14:textId="7B039311" w:rsidR="00631363" w:rsidRPr="00631363" w:rsidRDefault="00F46FCE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43" w:type="dxa"/>
          </w:tcPr>
          <w:p w14:paraId="59A981AC" w14:textId="2048A985" w:rsidR="00631363" w:rsidRPr="00631363" w:rsidRDefault="00F46FCE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42" w:type="dxa"/>
          </w:tcPr>
          <w:p w14:paraId="56E07B60" w14:textId="16A6E993" w:rsidR="00631363" w:rsidRPr="00631363" w:rsidRDefault="00F46FCE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45" w:type="dxa"/>
          </w:tcPr>
          <w:p w14:paraId="7CE9EE2F" w14:textId="60D8DCC3" w:rsidR="00631363" w:rsidRPr="00631363" w:rsidRDefault="00F46FCE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43" w:type="dxa"/>
          </w:tcPr>
          <w:p w14:paraId="356378E3" w14:textId="46B95017" w:rsidR="00631363" w:rsidRPr="00F46FCE" w:rsidRDefault="00F46FCE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93" w:type="dxa"/>
          </w:tcPr>
          <w:p w14:paraId="44216106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40" w:type="dxa"/>
          </w:tcPr>
          <w:p w14:paraId="4F9404BC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31363" w:rsidRPr="00631363" w14:paraId="36B691BF" w14:textId="77777777" w:rsidTr="00B70320">
        <w:tc>
          <w:tcPr>
            <w:tcW w:w="866" w:type="dxa"/>
            <w:vMerge/>
          </w:tcPr>
          <w:p w14:paraId="50E2818A" w14:textId="77777777" w:rsidR="00631363" w:rsidRPr="00631363" w:rsidRDefault="00631363" w:rsidP="0063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0" w:type="dxa"/>
            <w:gridSpan w:val="2"/>
          </w:tcPr>
          <w:p w14:paraId="1C905996" w14:textId="35D3FFBF" w:rsidR="00631363" w:rsidRPr="00631363" w:rsidRDefault="00E62789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88" w:type="dxa"/>
            <w:gridSpan w:val="2"/>
          </w:tcPr>
          <w:p w14:paraId="68C989C9" w14:textId="2499A517" w:rsidR="00631363" w:rsidRPr="00631363" w:rsidRDefault="00F46FCE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85" w:type="dxa"/>
            <w:gridSpan w:val="2"/>
          </w:tcPr>
          <w:p w14:paraId="16B7CA00" w14:textId="7AECB037" w:rsidR="00631363" w:rsidRPr="00631363" w:rsidRDefault="00F46FCE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88" w:type="dxa"/>
            <w:gridSpan w:val="2"/>
          </w:tcPr>
          <w:p w14:paraId="23CD1DA5" w14:textId="62030567" w:rsidR="00631363" w:rsidRPr="00631363" w:rsidRDefault="00F46FCE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733" w:type="dxa"/>
            <w:gridSpan w:val="2"/>
          </w:tcPr>
          <w:p w14:paraId="0EF70CE6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631363" w:rsidRPr="00631363" w14:paraId="0474EBC2" w14:textId="77777777" w:rsidTr="00B70320">
        <w:tc>
          <w:tcPr>
            <w:tcW w:w="866" w:type="dxa"/>
            <w:vMerge/>
          </w:tcPr>
          <w:p w14:paraId="15021D16" w14:textId="77777777" w:rsidR="00631363" w:rsidRPr="00631363" w:rsidRDefault="00631363" w:rsidP="0063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484" w:type="dxa"/>
            <w:gridSpan w:val="10"/>
          </w:tcPr>
          <w:p w14:paraId="0D22A086" w14:textId="284D2F46" w:rsidR="00631363" w:rsidRPr="00631363" w:rsidRDefault="00F46FCE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</w:tbl>
    <w:p w14:paraId="14851200" w14:textId="77777777" w:rsidR="00631363" w:rsidRPr="00631363" w:rsidRDefault="00631363" w:rsidP="00631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14:paraId="50103708" w14:textId="77777777" w:rsidR="00631363" w:rsidRPr="000066F7" w:rsidRDefault="00631363" w:rsidP="00631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3136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1.4.</w:t>
      </w:r>
      <w:r w:rsidRPr="0063136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sr-Cyrl-RS"/>
        </w:rPr>
        <w:t xml:space="preserve"> </w:t>
      </w:r>
      <w:r w:rsidRPr="0063136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Структура запослених према </w:t>
      </w:r>
      <w:r w:rsidRPr="000066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годинама старости </w:t>
      </w:r>
    </w:p>
    <w:p w14:paraId="191C0E1E" w14:textId="77777777" w:rsidR="00631363" w:rsidRPr="00631363" w:rsidRDefault="00631363" w:rsidP="00631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762"/>
        <w:gridCol w:w="761"/>
        <w:gridCol w:w="762"/>
        <w:gridCol w:w="761"/>
        <w:gridCol w:w="762"/>
        <w:gridCol w:w="964"/>
        <w:gridCol w:w="831"/>
        <w:gridCol w:w="965"/>
        <w:gridCol w:w="831"/>
        <w:gridCol w:w="965"/>
      </w:tblGrid>
      <w:tr w:rsidR="00631363" w:rsidRPr="00631363" w14:paraId="288A3B91" w14:textId="77777777" w:rsidTr="00B70320">
        <w:tc>
          <w:tcPr>
            <w:tcW w:w="987" w:type="dxa"/>
            <w:vMerge w:val="restart"/>
          </w:tcPr>
          <w:p w14:paraId="64565110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64" w:type="dxa"/>
            <w:gridSpan w:val="10"/>
          </w:tcPr>
          <w:p w14:paraId="5E70CD8B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Старосна структура</w:t>
            </w:r>
          </w:p>
        </w:tc>
      </w:tr>
      <w:tr w:rsidR="00631363" w:rsidRPr="00631363" w14:paraId="5FD33CDD" w14:textId="77777777" w:rsidTr="00B70320">
        <w:tc>
          <w:tcPr>
            <w:tcW w:w="987" w:type="dxa"/>
            <w:vMerge/>
          </w:tcPr>
          <w:p w14:paraId="5A1BFCFF" w14:textId="77777777" w:rsidR="00631363" w:rsidRPr="00631363" w:rsidRDefault="00631363" w:rsidP="0063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23" w:type="dxa"/>
            <w:gridSpan w:val="2"/>
          </w:tcPr>
          <w:p w14:paraId="7EC59BDF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18-30</w:t>
            </w:r>
          </w:p>
        </w:tc>
        <w:tc>
          <w:tcPr>
            <w:tcW w:w="1523" w:type="dxa"/>
            <w:gridSpan w:val="2"/>
          </w:tcPr>
          <w:p w14:paraId="7DF9C706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31-40</w:t>
            </w:r>
          </w:p>
        </w:tc>
        <w:tc>
          <w:tcPr>
            <w:tcW w:w="1726" w:type="dxa"/>
            <w:gridSpan w:val="2"/>
          </w:tcPr>
          <w:p w14:paraId="72552BAF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41-50</w:t>
            </w:r>
          </w:p>
        </w:tc>
        <w:tc>
          <w:tcPr>
            <w:tcW w:w="1796" w:type="dxa"/>
            <w:gridSpan w:val="2"/>
          </w:tcPr>
          <w:p w14:paraId="4879D82D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51-60</w:t>
            </w:r>
          </w:p>
        </w:tc>
        <w:tc>
          <w:tcPr>
            <w:tcW w:w="1796" w:type="dxa"/>
            <w:gridSpan w:val="2"/>
          </w:tcPr>
          <w:p w14:paraId="05671D14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Преко 61</w:t>
            </w:r>
          </w:p>
        </w:tc>
      </w:tr>
      <w:tr w:rsidR="00631363" w:rsidRPr="00631363" w14:paraId="3840451A" w14:textId="77777777" w:rsidTr="00B70320">
        <w:tc>
          <w:tcPr>
            <w:tcW w:w="987" w:type="dxa"/>
            <w:vMerge/>
          </w:tcPr>
          <w:p w14:paraId="45D2D7C1" w14:textId="77777777" w:rsidR="00631363" w:rsidRPr="00631363" w:rsidRDefault="00631363" w:rsidP="0063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2" w:type="dxa"/>
          </w:tcPr>
          <w:p w14:paraId="44ABEF6A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761" w:type="dxa"/>
          </w:tcPr>
          <w:p w14:paraId="130C895B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762" w:type="dxa"/>
          </w:tcPr>
          <w:p w14:paraId="62FE2559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761" w:type="dxa"/>
          </w:tcPr>
          <w:p w14:paraId="4AEBB780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762" w:type="dxa"/>
          </w:tcPr>
          <w:p w14:paraId="4FEB801E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964" w:type="dxa"/>
          </w:tcPr>
          <w:p w14:paraId="189ED7D7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831" w:type="dxa"/>
          </w:tcPr>
          <w:p w14:paraId="20CB1DE3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965" w:type="dxa"/>
          </w:tcPr>
          <w:p w14:paraId="2B464B95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</w:t>
            </w:r>
          </w:p>
        </w:tc>
        <w:tc>
          <w:tcPr>
            <w:tcW w:w="831" w:type="dxa"/>
          </w:tcPr>
          <w:p w14:paraId="42CE5CDC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965" w:type="dxa"/>
          </w:tcPr>
          <w:p w14:paraId="01CD3393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Ж</w:t>
            </w:r>
          </w:p>
        </w:tc>
      </w:tr>
      <w:tr w:rsidR="00631363" w:rsidRPr="00631363" w14:paraId="5B2140DE" w14:textId="77777777" w:rsidTr="00B70320">
        <w:tc>
          <w:tcPr>
            <w:tcW w:w="987" w:type="dxa"/>
            <w:vMerge w:val="restart"/>
          </w:tcPr>
          <w:p w14:paraId="14A7C0DB" w14:textId="77777777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762" w:type="dxa"/>
          </w:tcPr>
          <w:p w14:paraId="029E43D7" w14:textId="19ED023B" w:rsidR="00631363" w:rsidRPr="000A7670" w:rsidRDefault="000A7670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61" w:type="dxa"/>
          </w:tcPr>
          <w:p w14:paraId="0C9D3E04" w14:textId="44514D8C" w:rsidR="00631363" w:rsidRPr="00631363" w:rsidRDefault="000A7670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62" w:type="dxa"/>
          </w:tcPr>
          <w:p w14:paraId="0760C7B2" w14:textId="081C36E2" w:rsidR="00631363" w:rsidRPr="00631363" w:rsidRDefault="000A7670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61" w:type="dxa"/>
          </w:tcPr>
          <w:p w14:paraId="26D9B087" w14:textId="61A64647" w:rsidR="00631363" w:rsidRPr="00631363" w:rsidRDefault="000A7670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62" w:type="dxa"/>
          </w:tcPr>
          <w:p w14:paraId="0855F075" w14:textId="4C247C38" w:rsidR="00631363" w:rsidRPr="00631363" w:rsidRDefault="000A7670" w:rsidP="0063136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4" w:type="dxa"/>
          </w:tcPr>
          <w:p w14:paraId="63F67B0A" w14:textId="538FF17F" w:rsidR="00631363" w:rsidRPr="00631363" w:rsidRDefault="000A7670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31" w:type="dxa"/>
          </w:tcPr>
          <w:p w14:paraId="01DB13DD" w14:textId="3B074115" w:rsidR="00631363" w:rsidRPr="000A7670" w:rsidRDefault="000A7670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5" w:type="dxa"/>
          </w:tcPr>
          <w:p w14:paraId="4C95C7F9" w14:textId="030FD26A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1" w:type="dxa"/>
          </w:tcPr>
          <w:p w14:paraId="29256843" w14:textId="77B37474" w:rsidR="00631363" w:rsidRPr="00631363" w:rsidRDefault="000A7670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965" w:type="dxa"/>
          </w:tcPr>
          <w:p w14:paraId="1B1DA3CA" w14:textId="78EC95BC" w:rsidR="00631363" w:rsidRPr="00631363" w:rsidRDefault="000A7670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631363" w:rsidRPr="00631363" w14:paraId="4A5453FF" w14:textId="77777777" w:rsidTr="00B70320">
        <w:tc>
          <w:tcPr>
            <w:tcW w:w="987" w:type="dxa"/>
            <w:vMerge/>
          </w:tcPr>
          <w:p w14:paraId="25C25F3D" w14:textId="77777777" w:rsidR="00631363" w:rsidRPr="00631363" w:rsidRDefault="00631363" w:rsidP="00631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23" w:type="dxa"/>
            <w:gridSpan w:val="2"/>
          </w:tcPr>
          <w:p w14:paraId="2CCC71CA" w14:textId="1886DE7A" w:rsidR="00631363" w:rsidRPr="00631363" w:rsidRDefault="000A7670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23" w:type="dxa"/>
            <w:gridSpan w:val="2"/>
          </w:tcPr>
          <w:p w14:paraId="3A3628ED" w14:textId="4740C736" w:rsidR="00631363" w:rsidRPr="00631363" w:rsidRDefault="000A7670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26" w:type="dxa"/>
            <w:gridSpan w:val="2"/>
          </w:tcPr>
          <w:p w14:paraId="4ACCDE12" w14:textId="645CF91D" w:rsidR="00631363" w:rsidRPr="00631363" w:rsidRDefault="000A7670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96" w:type="dxa"/>
            <w:gridSpan w:val="2"/>
          </w:tcPr>
          <w:p w14:paraId="30702771" w14:textId="1107EB4D" w:rsidR="00631363" w:rsidRPr="00631363" w:rsidRDefault="00631363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313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96" w:type="dxa"/>
            <w:gridSpan w:val="2"/>
          </w:tcPr>
          <w:p w14:paraId="59A5D7CA" w14:textId="5AF1E998" w:rsidR="00631363" w:rsidRPr="00631363" w:rsidRDefault="000A7670" w:rsidP="0063136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</w:tbl>
    <w:p w14:paraId="202741E5" w14:textId="77777777" w:rsidR="00631363" w:rsidRPr="00631363" w:rsidRDefault="00631363" w:rsidP="006313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CDA3CF1" w14:textId="77777777" w:rsidR="00C661D1" w:rsidRPr="00584083" w:rsidRDefault="00C661D1" w:rsidP="000066F7">
      <w:pPr>
        <w:widowControl w:val="0"/>
        <w:spacing w:after="0" w:line="240" w:lineRule="auto"/>
        <w:ind w:right="17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Установа </w:t>
      </w:r>
      <w:r w:rsidRPr="0058408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потребом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солидарности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деловању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залагаће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:</w:t>
      </w:r>
    </w:p>
    <w:p w14:paraId="0B60E8A2" w14:textId="77777777" w:rsidR="00C661D1" w:rsidRPr="00584083" w:rsidRDefault="00C661D1" w:rsidP="000066F7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ind w:left="46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једнаку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остваривале</w:t>
      </w:r>
      <w:proofErr w:type="spellEnd"/>
    </w:p>
    <w:p w14:paraId="1FC944BA" w14:textId="77777777" w:rsidR="00C661D1" w:rsidRPr="00584083" w:rsidRDefault="00C661D1" w:rsidP="000066F7">
      <w:pPr>
        <w:widowControl w:val="0"/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правичне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пристојном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животном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стандарду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;</w:t>
      </w:r>
    </w:p>
    <w:p w14:paraId="075E5E0E" w14:textId="77777777" w:rsidR="00C661D1" w:rsidRPr="00584083" w:rsidRDefault="00C661D1" w:rsidP="000066F7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усвајањем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примењивањем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одговарајућих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,</w:t>
      </w:r>
    </w:p>
    <w:p w14:paraId="4A4AE154" w14:textId="77777777" w:rsidR="00C661D1" w:rsidRPr="00584083" w:rsidRDefault="00C661D1" w:rsidP="000066F7">
      <w:pPr>
        <w:widowControl w:val="0"/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законских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подзаконских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дијалога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друштвеним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групацијама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;</w:t>
      </w:r>
    </w:p>
    <w:p w14:paraId="35B32DBB" w14:textId="77777777" w:rsidR="00C661D1" w:rsidRPr="00584083" w:rsidRDefault="00C661D1" w:rsidP="000066F7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квалитетан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приступачан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,</w:t>
      </w:r>
    </w:p>
    <w:p w14:paraId="35EE2D16" w14:textId="77777777" w:rsidR="00C661D1" w:rsidRPr="00584083" w:rsidRDefault="00C661D1" w:rsidP="000066F7">
      <w:pPr>
        <w:widowControl w:val="0"/>
        <w:spacing w:after="0" w:line="240" w:lineRule="auto"/>
        <w:ind w:left="4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пажња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најугроженије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;</w:t>
      </w:r>
    </w:p>
    <w:p w14:paraId="0D4469C8" w14:textId="77777777" w:rsidR="00C661D1" w:rsidRPr="00584083" w:rsidRDefault="00C661D1" w:rsidP="000066F7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</w:p>
    <w:p w14:paraId="149AC765" w14:textId="77777777" w:rsidR="00C661D1" w:rsidRPr="00584083" w:rsidRDefault="00C661D1" w:rsidP="000066F7">
      <w:pPr>
        <w:widowControl w:val="0"/>
        <w:spacing w:after="0" w:line="240" w:lineRule="auto"/>
        <w:ind w:left="462" w:right="1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прихватање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синдиката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преговорима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lastRenderedPageBreak/>
        <w:t>успостављање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колективних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професионалних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прихватају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поштују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;</w:t>
      </w:r>
    </w:p>
    <w:p w14:paraId="10E027D7" w14:textId="77777777" w:rsidR="00C661D1" w:rsidRPr="00584083" w:rsidRDefault="00C661D1" w:rsidP="00C661D1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ind w:left="462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успостављањем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које</w:t>
      </w:r>
      <w:proofErr w:type="spellEnd"/>
    </w:p>
    <w:p w14:paraId="026514C9" w14:textId="77777777" w:rsidR="00C661D1" w:rsidRPr="00584083" w:rsidRDefault="00C661D1" w:rsidP="00C661D1">
      <w:pPr>
        <w:widowControl w:val="0"/>
        <w:spacing w:after="0" w:line="240" w:lineRule="auto"/>
        <w:ind w:left="4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омогућавају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истински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друштвени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грађански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дијалог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082371CE" w14:textId="77777777" w:rsidR="000A7670" w:rsidRDefault="000A7670" w:rsidP="00C661D1">
      <w:pPr>
        <w:widowControl w:val="0"/>
        <w:spacing w:after="0" w:line="240" w:lineRule="auto"/>
        <w:ind w:left="178" w:right="180" w:firstLine="542"/>
        <w:rPr>
          <w:rFonts w:ascii="Times New Roman" w:hAnsi="Times New Roman" w:cs="Times New Roman"/>
          <w:sz w:val="24"/>
          <w:szCs w:val="24"/>
        </w:rPr>
      </w:pPr>
    </w:p>
    <w:p w14:paraId="44705B7D" w14:textId="077AABF4" w:rsidR="00C661D1" w:rsidRPr="00584083" w:rsidRDefault="00C661D1" w:rsidP="00C661D1">
      <w:pPr>
        <w:widowControl w:val="0"/>
        <w:spacing w:after="0" w:line="240" w:lineRule="auto"/>
        <w:ind w:left="178" w:right="180" w:firstLine="542"/>
        <w:rPr>
          <w:rFonts w:ascii="Times New Roman" w:hAnsi="Times New Roman" w:cs="Times New Roman"/>
          <w:sz w:val="24"/>
          <w:szCs w:val="24"/>
        </w:rPr>
      </w:pPr>
      <w:r w:rsidRPr="0058408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деловању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установа </w:t>
      </w:r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proofErr w:type="gram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:</w:t>
      </w:r>
    </w:p>
    <w:p w14:paraId="2572A6A6" w14:textId="77777777" w:rsidR="00C661D1" w:rsidRPr="00584083" w:rsidRDefault="00C661D1" w:rsidP="00C661D1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ind w:left="462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економског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социјалног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свих</w:t>
      </w:r>
      <w:proofErr w:type="spellEnd"/>
    </w:p>
    <w:p w14:paraId="3A6FF8C9" w14:textId="77777777" w:rsidR="00C661D1" w:rsidRPr="00584083" w:rsidRDefault="00C661D1" w:rsidP="00C661D1">
      <w:pPr>
        <w:widowControl w:val="0"/>
        <w:spacing w:after="0" w:line="240" w:lineRule="auto"/>
        <w:ind w:left="4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;</w:t>
      </w:r>
    </w:p>
    <w:p w14:paraId="511597FF" w14:textId="77777777" w:rsidR="000A7670" w:rsidRDefault="000A7670" w:rsidP="00C661D1">
      <w:pPr>
        <w:widowControl w:val="0"/>
        <w:spacing w:after="0" w:line="240" w:lineRule="auto"/>
        <w:ind w:left="178" w:firstLine="542"/>
        <w:rPr>
          <w:rFonts w:ascii="Times New Roman" w:hAnsi="Times New Roman" w:cs="Times New Roman"/>
          <w:sz w:val="24"/>
          <w:szCs w:val="24"/>
        </w:rPr>
      </w:pPr>
    </w:p>
    <w:p w14:paraId="6C067756" w14:textId="52D1AE39" w:rsidR="00C661D1" w:rsidRPr="00584083" w:rsidRDefault="00C661D1" w:rsidP="00C661D1">
      <w:pPr>
        <w:widowControl w:val="0"/>
        <w:spacing w:after="0" w:line="240" w:lineRule="auto"/>
        <w:ind w:left="178" w:firstLine="542"/>
        <w:rPr>
          <w:rFonts w:ascii="Times New Roman" w:hAnsi="Times New Roman" w:cs="Times New Roman"/>
          <w:sz w:val="24"/>
          <w:szCs w:val="24"/>
        </w:rPr>
      </w:pPr>
      <w:r w:rsidRPr="0058408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програмских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циљева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установа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деловању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:</w:t>
      </w:r>
    </w:p>
    <w:p w14:paraId="4F1D12C1" w14:textId="77777777" w:rsidR="00C661D1" w:rsidRPr="00584083" w:rsidRDefault="00C661D1" w:rsidP="00C661D1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водећи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нормама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стручности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оспособљености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радити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очувању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успостављене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равнотеже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;</w:t>
      </w:r>
    </w:p>
    <w:p w14:paraId="29656156" w14:textId="77777777" w:rsidR="00C661D1" w:rsidRPr="00584083" w:rsidRDefault="00C661D1" w:rsidP="00C661D1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придржавати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мајчинства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;</w:t>
      </w:r>
    </w:p>
    <w:p w14:paraId="3153F74F" w14:textId="77777777" w:rsidR="00C661D1" w:rsidRPr="00584083" w:rsidRDefault="00C661D1" w:rsidP="00C661D1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оштро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санкционисати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притужбе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усмерене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полну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;</w:t>
      </w:r>
    </w:p>
    <w:p w14:paraId="7D436E15" w14:textId="77777777" w:rsidR="00C661D1" w:rsidRPr="00584083" w:rsidRDefault="00C661D1" w:rsidP="00C661D1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формирању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водити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полној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заступљености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E31A69" w14:textId="77777777" w:rsidR="00C661D1" w:rsidRPr="00584083" w:rsidRDefault="00C661D1" w:rsidP="00C661D1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радити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подизању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;</w:t>
      </w:r>
    </w:p>
    <w:p w14:paraId="0978EE83" w14:textId="77777777" w:rsidR="00C661D1" w:rsidRPr="00584083" w:rsidRDefault="00C661D1" w:rsidP="00C661D1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радити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изградњ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шанси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систематски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истинито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информисати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20BEA9" w14:textId="77777777" w:rsidR="00C661D1" w:rsidRPr="00584083" w:rsidRDefault="00C661D1" w:rsidP="00C661D1">
      <w:pPr>
        <w:widowControl w:val="0"/>
        <w:spacing w:after="0" w:line="240" w:lineRule="auto"/>
        <w:ind w:left="178" w:right="1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sz w:val="24"/>
          <w:szCs w:val="24"/>
        </w:rPr>
        <w:t>установе</w:t>
      </w:r>
      <w:proofErr w:type="spellEnd"/>
      <w:r w:rsidRPr="0058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3F0DD8" w14:textId="77777777" w:rsidR="00C661D1" w:rsidRPr="00584083" w:rsidRDefault="00C661D1" w:rsidP="00C661D1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ind w:left="462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остваривати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пуну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повређено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неко</w:t>
      </w:r>
      <w:proofErr w:type="spellEnd"/>
    </w:p>
    <w:p w14:paraId="3402F701" w14:textId="77777777" w:rsidR="00C661D1" w:rsidRPr="00584083" w:rsidRDefault="00C661D1" w:rsidP="00C661D1">
      <w:pPr>
        <w:widowControl w:val="0"/>
        <w:spacing w:after="0" w:line="240" w:lineRule="auto"/>
        <w:ind w:left="4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;</w:t>
      </w:r>
    </w:p>
    <w:p w14:paraId="70CAAB8A" w14:textId="77777777" w:rsidR="00C661D1" w:rsidRPr="00584083" w:rsidRDefault="00C661D1" w:rsidP="00C661D1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ind w:left="462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развијати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</w:p>
    <w:p w14:paraId="2A23C698" w14:textId="77777777" w:rsidR="00C661D1" w:rsidRPr="00584083" w:rsidRDefault="00C661D1" w:rsidP="00C661D1">
      <w:pPr>
        <w:widowControl w:val="0"/>
        <w:spacing w:after="0" w:line="240" w:lineRule="auto"/>
        <w:ind w:left="462" w:right="1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гарантовати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социјалну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покретати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поступке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нарушена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;</w:t>
      </w:r>
    </w:p>
    <w:p w14:paraId="398679A1" w14:textId="77777777" w:rsidR="00C661D1" w:rsidRPr="00584083" w:rsidRDefault="00C661D1" w:rsidP="00C661D1">
      <w:pPr>
        <w:widowControl w:val="0"/>
        <w:numPr>
          <w:ilvl w:val="0"/>
          <w:numId w:val="9"/>
        </w:numPr>
        <w:tabs>
          <w:tab w:val="left" w:pos="463"/>
        </w:tabs>
        <w:spacing w:after="0" w:line="240" w:lineRule="auto"/>
        <w:ind w:left="462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систематски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истинито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информисати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76F4E91B" w14:textId="77777777" w:rsidR="00C661D1" w:rsidRPr="00584083" w:rsidRDefault="00C661D1" w:rsidP="00C661D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06749" w14:textId="77777777" w:rsidR="00C661D1" w:rsidRPr="00584083" w:rsidRDefault="00C661D1" w:rsidP="00C66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color w:val="000000"/>
          <w:sz w:val="24"/>
          <w:szCs w:val="24"/>
        </w:rPr>
        <w:t>Родно</w:t>
      </w:r>
      <w:proofErr w:type="spellEnd"/>
      <w:r w:rsidRPr="005840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color w:val="000000"/>
          <w:sz w:val="24"/>
          <w:szCs w:val="24"/>
        </w:rPr>
        <w:t>осетљива</w:t>
      </w:r>
      <w:proofErr w:type="spellEnd"/>
      <w:r w:rsidRPr="005840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b/>
          <w:color w:val="000000"/>
          <w:sz w:val="24"/>
          <w:szCs w:val="24"/>
        </w:rPr>
        <w:t>статистика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установе </w:t>
      </w:r>
      <w:r w:rsidRPr="005840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737148B" w14:textId="77777777" w:rsidR="00C661D1" w:rsidRPr="00584083" w:rsidRDefault="00C661D1" w:rsidP="00C66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BD4BD" w14:textId="77777777" w:rsidR="00C661D1" w:rsidRPr="00584083" w:rsidRDefault="00C661D1" w:rsidP="00C66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разумеле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остваривањем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неопходна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родно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осетљиве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статистике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родно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разврстаних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родних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индикатора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кључни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алати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формулисање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надзирање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евалуацију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ревизију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нивоима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друштвеног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деловања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Родно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осетљива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статистика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креирање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ревизију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производиле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различите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ефекте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жене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мушкарце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тога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веродостојне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стварним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ефектима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политика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животе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мушкараца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1BD3200" w14:textId="77777777" w:rsidR="00C661D1" w:rsidRPr="00584083" w:rsidRDefault="00C661D1" w:rsidP="00C661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свеобухватно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приказивање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родно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осетљивих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омогућавају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сагледавање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стања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друштву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организацији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родно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засноване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креирање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политика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усмерени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отклањање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неједнакости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положаја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дискриминисаних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група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дискриминисаних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појединаца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color w:val="000000"/>
          <w:sz w:val="24"/>
          <w:szCs w:val="24"/>
        </w:rPr>
        <w:t>појединки</w:t>
      </w:r>
      <w:proofErr w:type="spellEnd"/>
      <w:r w:rsidRPr="005840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233ED96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08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унапређено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разврставање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разврстаним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различитим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здравство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социјална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запосленост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lastRenderedPageBreak/>
        <w:t>зараде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пензије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уније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увела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Инедкс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5D2E6730" w14:textId="77777777" w:rsidR="00C661D1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25DD8" w14:textId="77777777" w:rsidR="00C661D1" w:rsidRPr="00584083" w:rsidRDefault="00C661D1" w:rsidP="00C66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B1F3C" w14:textId="77777777" w:rsidR="00C661D1" w:rsidRDefault="00C661D1" w:rsidP="00C66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083">
        <w:rPr>
          <w:rFonts w:ascii="Times New Roman" w:hAnsi="Times New Roman" w:cs="Times New Roman"/>
          <w:b/>
          <w:sz w:val="24"/>
          <w:szCs w:val="24"/>
        </w:rPr>
        <w:t>2. ОПИС СТАЊА</w:t>
      </w:r>
    </w:p>
    <w:p w14:paraId="5F7A2CC4" w14:textId="77777777" w:rsidR="00C661D1" w:rsidRPr="00584083" w:rsidRDefault="00C661D1" w:rsidP="00C66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145196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08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заступљеном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издвајају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3F8AE765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непостојање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узнемиравања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узнемиравања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посредне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судских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спорова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4EDBE9ED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представљених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бројчаних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констатовати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родни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јаз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65AA19F0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напоменути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радницима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спровођено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Националном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службом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поштовање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мерило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испуњавање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функционалне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проверавају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конкретно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B1FB28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08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постојању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установа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полну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јавити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установе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123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083"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584083">
        <w:rPr>
          <w:rFonts w:ascii="Times New Roman" w:hAnsi="Times New Roman" w:cs="Times New Roman"/>
          <w:sz w:val="24"/>
          <w:szCs w:val="24"/>
        </w:rPr>
        <w:t xml:space="preserve"> 88/2017, 27/2018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, 10/2019, 6/2020 и 129/2021).</w:t>
      </w:r>
    </w:p>
    <w:p w14:paraId="4BFD07BF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08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старосне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заступљена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доби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рангу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вишег образовања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доминантан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1EF889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08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исплаћују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коефицијентима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службама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44/01, 15/2002 -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уредба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*, 30/2002, 32/2002 -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., 69/2002, 78/2002, 61/2003, 121/2003, 130/2003, 67/2004, 120/2004, 5/2005, 26/2005, 81/2005, 105/2005, 109/2005, 27/2006, 32/2006, 58/2006, 82/2006, 106/2006, 10/2007, 40/2007, 60/2007, 91/2007, 106/2007, 7/2008, 9/2008, 24/2008, 26/2008, 31/2008, 44/2008, 54/2008, 108/2008, 113/2008, 79/2009 91/2010, 20/2011, 65/2011, 100/2011, 11/2012, 124/2012, 8/2013, 4/2014, 58/2014, 113/2017 -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95/2018 -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86/2019 -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објективном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критеријуму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50318AEB" w14:textId="77777777" w:rsidR="00C661D1" w:rsidRPr="00584083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усавршавање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оспособљавање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условљено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полом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17AB2979" w14:textId="77777777" w:rsidR="00C661D1" w:rsidRPr="00584083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2C11B" w14:textId="77777777" w:rsidR="00C661D1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083">
        <w:rPr>
          <w:rFonts w:ascii="Times New Roman" w:hAnsi="Times New Roman" w:cs="Times New Roman"/>
          <w:b/>
          <w:sz w:val="24"/>
          <w:szCs w:val="24"/>
        </w:rPr>
        <w:t>3. МЕРЕ ЗА ОСТВАРИВАЊЕ И УНАПРЕЂЕЊЕ РОДНЕ РАВНОПРАВНОСТИ</w:t>
      </w:r>
    </w:p>
    <w:p w14:paraId="1396DA7D" w14:textId="77777777" w:rsidR="00C661D1" w:rsidRPr="00584083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8B14C" w14:textId="77777777" w:rsidR="0077696A" w:rsidRPr="00766E81" w:rsidRDefault="0077696A" w:rsidP="000066F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равноправан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третман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самозапошљавања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информационо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комуникационих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r w:rsidRPr="00766E81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одбране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саобраћаја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њиховим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телима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политичког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деловања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сексуалног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репродуктивног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роби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>.</w:t>
      </w:r>
    </w:p>
    <w:p w14:paraId="08C679D1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опше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>.</w:t>
      </w:r>
    </w:p>
    <w:p w14:paraId="413C0C29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 3.1.ОПШТЕ МЕРЕ </w:t>
      </w:r>
    </w:p>
    <w:p w14:paraId="37AB5471" w14:textId="77777777" w:rsidR="0077696A" w:rsidRPr="00766E81" w:rsidRDefault="0077696A" w:rsidP="000066F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јесу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забрањује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D33AD5" w14:textId="77777777" w:rsidR="0077696A" w:rsidRPr="00766E81" w:rsidRDefault="0077696A" w:rsidP="000066F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обухватају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декларације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резолуције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4D7AB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3.2.ПОСЕБНЕ МЕРЕ </w:t>
      </w:r>
    </w:p>
    <w:p w14:paraId="4F52903D" w14:textId="77777777" w:rsidR="0077696A" w:rsidRPr="00766E81" w:rsidRDefault="0077696A" w:rsidP="000066F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начелом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равноправно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припадника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сферама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друштвеног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једнаке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слобода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745B30" w14:textId="77777777" w:rsidR="0077696A" w:rsidRPr="00766E81" w:rsidRDefault="0077696A" w:rsidP="000066F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AE1AC1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Установа</w:t>
      </w:r>
      <w:r w:rsidRPr="00766E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уважавати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различити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интереси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DB10E9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девојчица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информисаност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једнаку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2497A1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уродњавања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буџетирања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4D9E54A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промовисање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људским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ресурсима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>;</w:t>
      </w:r>
    </w:p>
    <w:p w14:paraId="563E0DA4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уравнотежена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управним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надзорним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телима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положајима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9E2A8A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уравнотежена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свакој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фази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формулисања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2C16E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употреба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сензитивног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утицало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уклањање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родних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стереотипа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>;</w:t>
      </w:r>
    </w:p>
    <w:p w14:paraId="135375E0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разврстаних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>.</w:t>
      </w:r>
    </w:p>
    <w:p w14:paraId="03DDCED9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4FE58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постигне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>.</w:t>
      </w:r>
    </w:p>
    <w:p w14:paraId="2AAE79EB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 3.3.ВРСТЕ ПОСЕБНИХ МЕРА </w:t>
      </w:r>
    </w:p>
    <w:p w14:paraId="02880145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A55FD3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одређују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спроводе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осетно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неуравнотежене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заступљености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59FE7F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подстицајне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уводе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подстицаји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обезбеђивања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жене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мушкарце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областима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AE1A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E1AC1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Установе </w:t>
      </w:r>
      <w:r w:rsidRPr="00766E8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4F446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операционализују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родне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9C0CBB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3.4.ПОЛИТИКА ЈЕДНАКИХ МОГУЋНОСТИ </w:t>
      </w:r>
    </w:p>
    <w:p w14:paraId="1CA12526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1AD3A8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равноправно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фазама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утичу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36BE5B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узимање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приоритета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одлучивања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заснованим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интересима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>;</w:t>
      </w:r>
    </w:p>
    <w:p w14:paraId="04317950" w14:textId="77777777" w:rsidR="0077696A" w:rsidRPr="00766E81" w:rsidRDefault="0077696A" w:rsidP="0077696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предузимање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једнаких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неједнаком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положају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полних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карактеристика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припадника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осетљивих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>.</w:t>
      </w:r>
    </w:p>
    <w:p w14:paraId="790793C7" w14:textId="77777777" w:rsidR="0077696A" w:rsidRPr="00766E81" w:rsidRDefault="0077696A" w:rsidP="000066F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Установе </w:t>
      </w:r>
      <w:r w:rsidRPr="00766E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прописана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истоветна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различитом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платом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исплаћује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пуно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полној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="003878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3878AD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Установе </w:t>
      </w:r>
      <w:r w:rsidRPr="00766E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прописана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оправдана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прављења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E81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766E81">
        <w:rPr>
          <w:rFonts w:ascii="Times New Roman" w:hAnsi="Times New Roman" w:cs="Times New Roman"/>
          <w:sz w:val="24"/>
          <w:szCs w:val="24"/>
        </w:rPr>
        <w:t>.</w:t>
      </w:r>
    </w:p>
    <w:p w14:paraId="32BD2F75" w14:textId="77777777" w:rsidR="00C661D1" w:rsidRPr="00584083" w:rsidRDefault="00C661D1" w:rsidP="000066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1ED26037" w14:textId="77777777" w:rsidR="00C661D1" w:rsidRDefault="00C661D1" w:rsidP="00C66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Престанак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трајне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временско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ограничење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спроводиће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усвајања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083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Pr="00584083">
        <w:rPr>
          <w:rFonts w:ascii="Times New Roman" w:hAnsi="Times New Roman" w:cs="Times New Roman"/>
          <w:sz w:val="24"/>
          <w:szCs w:val="24"/>
        </w:rPr>
        <w:t>.</w:t>
      </w:r>
    </w:p>
    <w:p w14:paraId="24DDF64A" w14:textId="77777777" w:rsidR="000A7670" w:rsidRPr="00584083" w:rsidRDefault="000A7670" w:rsidP="00C6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7E833" w14:textId="77777777" w:rsidR="00C661D1" w:rsidRPr="00584083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083">
        <w:rPr>
          <w:rFonts w:ascii="Times New Roman" w:hAnsi="Times New Roman" w:cs="Times New Roman"/>
          <w:b/>
          <w:sz w:val="24"/>
          <w:szCs w:val="24"/>
        </w:rPr>
        <w:t>4. ПОДАЦИ О ЛИЦУ ОДГОВОРНОМ ЗА СПРОВОЂЕЊЕ МЕРА ИЗ ПЛАНА УПРАВЉАЊА РИЗИЦИМА</w:t>
      </w:r>
    </w:p>
    <w:p w14:paraId="4663C910" w14:textId="77777777" w:rsidR="00C661D1" w:rsidRPr="00584083" w:rsidRDefault="00C661D1" w:rsidP="00C6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3086"/>
      </w:tblGrid>
      <w:tr w:rsidR="00C661D1" w:rsidRPr="00584083" w14:paraId="074ED2D0" w14:textId="77777777" w:rsidTr="0075102D">
        <w:trPr>
          <w:trHeight w:val="383"/>
        </w:trPr>
        <w:tc>
          <w:tcPr>
            <w:tcW w:w="3150" w:type="dxa"/>
            <w:vAlign w:val="center"/>
          </w:tcPr>
          <w:p w14:paraId="7D255129" w14:textId="77777777" w:rsidR="00C661D1" w:rsidRPr="00584083" w:rsidRDefault="00C661D1" w:rsidP="00751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083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58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84083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086" w:type="dxa"/>
            <w:vAlign w:val="center"/>
          </w:tcPr>
          <w:p w14:paraId="1BA796BF" w14:textId="367F3C8C" w:rsidR="00C661D1" w:rsidRPr="0077696A" w:rsidRDefault="00BC472E" w:rsidP="007510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Јудит Аћимчев</w:t>
            </w:r>
          </w:p>
        </w:tc>
      </w:tr>
      <w:tr w:rsidR="00C661D1" w:rsidRPr="00584083" w14:paraId="65CB1D43" w14:textId="77777777" w:rsidTr="0075102D">
        <w:trPr>
          <w:trHeight w:val="428"/>
        </w:trPr>
        <w:tc>
          <w:tcPr>
            <w:tcW w:w="3150" w:type="dxa"/>
            <w:vAlign w:val="center"/>
          </w:tcPr>
          <w:p w14:paraId="75FA3C97" w14:textId="77777777" w:rsidR="00C661D1" w:rsidRPr="00584083" w:rsidRDefault="00C661D1" w:rsidP="00751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08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086" w:type="dxa"/>
            <w:vAlign w:val="center"/>
          </w:tcPr>
          <w:p w14:paraId="1BF3748E" w14:textId="13B16F3A" w:rsidR="00C661D1" w:rsidRPr="0077696A" w:rsidRDefault="0077696A" w:rsidP="007769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C47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 4 874-371</w:t>
            </w:r>
          </w:p>
        </w:tc>
      </w:tr>
      <w:tr w:rsidR="00C661D1" w:rsidRPr="00584083" w14:paraId="0E71D20D" w14:textId="77777777" w:rsidTr="0075102D">
        <w:trPr>
          <w:trHeight w:val="428"/>
        </w:trPr>
        <w:tc>
          <w:tcPr>
            <w:tcW w:w="3150" w:type="dxa"/>
            <w:vAlign w:val="center"/>
          </w:tcPr>
          <w:p w14:paraId="3C2E7D97" w14:textId="77777777" w:rsidR="00C661D1" w:rsidRPr="00584083" w:rsidRDefault="00C661D1" w:rsidP="00751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4083">
              <w:rPr>
                <w:rFonts w:ascii="Times New Roman" w:hAnsi="Times New Roman" w:cs="Times New Roman"/>
                <w:b/>
                <w:sz w:val="24"/>
                <w:szCs w:val="24"/>
              </w:rPr>
              <w:t>Мобилни</w:t>
            </w:r>
            <w:proofErr w:type="spellEnd"/>
            <w:r w:rsidRPr="0058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408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3086" w:type="dxa"/>
            <w:vAlign w:val="center"/>
          </w:tcPr>
          <w:p w14:paraId="5E94D30F" w14:textId="37CF3C9C" w:rsidR="00C661D1" w:rsidRPr="0077696A" w:rsidRDefault="00BC472E" w:rsidP="0075102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062/211-973</w:t>
            </w:r>
          </w:p>
        </w:tc>
      </w:tr>
      <w:tr w:rsidR="00C661D1" w:rsidRPr="00584083" w14:paraId="7F440D19" w14:textId="77777777" w:rsidTr="0075102D">
        <w:trPr>
          <w:trHeight w:val="405"/>
        </w:trPr>
        <w:tc>
          <w:tcPr>
            <w:tcW w:w="3150" w:type="dxa"/>
            <w:vAlign w:val="center"/>
          </w:tcPr>
          <w:p w14:paraId="3F93E9E8" w14:textId="77777777" w:rsidR="00C661D1" w:rsidRPr="00584083" w:rsidRDefault="00C661D1" w:rsidP="00751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08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086" w:type="dxa"/>
            <w:vAlign w:val="center"/>
          </w:tcPr>
          <w:p w14:paraId="28813110" w14:textId="6C4797D1" w:rsidR="00C661D1" w:rsidRPr="00BC472E" w:rsidRDefault="000066F7" w:rsidP="007510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 w:rsidRPr="000066F7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atyimcsev.judit@gmail.com</w:t>
            </w:r>
          </w:p>
        </w:tc>
      </w:tr>
    </w:tbl>
    <w:p w14:paraId="5A874A94" w14:textId="77777777" w:rsidR="000A7670" w:rsidRDefault="000A7670" w:rsidP="003878AD">
      <w:pPr>
        <w:pStyle w:val="ListParagraph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8D94257" w14:textId="6D4F0EED" w:rsidR="003878AD" w:rsidRPr="000A7670" w:rsidRDefault="003878AD" w:rsidP="003878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A7670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0A76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A7670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0A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A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70">
        <w:rPr>
          <w:rFonts w:ascii="Times New Roman" w:hAnsi="Times New Roman" w:cs="Times New Roman"/>
          <w:sz w:val="24"/>
          <w:szCs w:val="24"/>
        </w:rPr>
        <w:t>објављују</w:t>
      </w:r>
      <w:proofErr w:type="spellEnd"/>
      <w:r w:rsidRPr="000A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670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0A7670">
        <w:rPr>
          <w:rFonts w:ascii="Times New Roman" w:hAnsi="Times New Roman" w:cs="Times New Roman"/>
          <w:sz w:val="24"/>
          <w:szCs w:val="24"/>
        </w:rPr>
        <w:t xml:space="preserve"> </w:t>
      </w:r>
      <w:r w:rsidRPr="000A7670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Установе</w:t>
      </w:r>
      <w:proofErr w:type="gramEnd"/>
      <w:r w:rsidRPr="000A7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="000A7670" w:rsidRPr="000A7670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hu-HU"/>
          </w:rPr>
          <w:t>www.kanjiza-muzicka.skola.edu.rs</w:t>
        </w:r>
      </w:hyperlink>
      <w:r w:rsidR="000A7670" w:rsidRPr="000A767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A7670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Pr="000A7670">
        <w:rPr>
          <w:rFonts w:ascii="Times New Roman" w:hAnsi="Times New Roman" w:cs="Times New Roman"/>
          <w:sz w:val="24"/>
          <w:szCs w:val="24"/>
        </w:rPr>
        <w:t>штампаној</w:t>
      </w:r>
      <w:proofErr w:type="spellEnd"/>
      <w:r w:rsidRPr="000A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70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0A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70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0A7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67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A7670">
        <w:rPr>
          <w:rFonts w:ascii="Times New Roman" w:hAnsi="Times New Roman" w:cs="Times New Roman"/>
          <w:sz w:val="24"/>
          <w:szCs w:val="24"/>
        </w:rPr>
        <w:t xml:space="preserve"> у </w:t>
      </w:r>
      <w:r w:rsidRPr="000A7670">
        <w:rPr>
          <w:rFonts w:ascii="Times New Roman" w:hAnsi="Times New Roman" w:cs="Times New Roman"/>
          <w:sz w:val="24"/>
          <w:szCs w:val="24"/>
          <w:lang w:val="sr-Cyrl-RS"/>
        </w:rPr>
        <w:t>архиви Установе.</w:t>
      </w:r>
    </w:p>
    <w:p w14:paraId="51D2D427" w14:textId="77777777" w:rsidR="003878AD" w:rsidRPr="000A7670" w:rsidRDefault="003878AD" w:rsidP="003878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9D44AF0" w14:textId="0A6DBC6E" w:rsidR="003878AD" w:rsidRPr="00766E81" w:rsidRDefault="00BC472E" w:rsidP="003878A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Кањижи</w:t>
      </w:r>
      <w:r w:rsidR="003878AD" w:rsidRPr="00766E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878A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3878AD">
        <w:rPr>
          <w:rFonts w:ascii="Times New Roman" w:hAnsi="Times New Roman" w:cs="Times New Roman"/>
          <w:sz w:val="24"/>
          <w:szCs w:val="24"/>
        </w:rPr>
        <w:t>.12. 2022</w:t>
      </w:r>
      <w:r w:rsidR="003878AD" w:rsidRPr="00766E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78AD" w:rsidRPr="00766E8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878AD" w:rsidRPr="00766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BC5AE" w14:textId="5BCF2F16" w:rsidR="003878AD" w:rsidRPr="00766E81" w:rsidRDefault="003878AD" w:rsidP="003878A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766E81">
        <w:rPr>
          <w:rFonts w:ascii="Times New Roman" w:hAnsi="Times New Roman" w:cs="Times New Roman"/>
          <w:sz w:val="24"/>
          <w:szCs w:val="24"/>
          <w:lang w:val="sr-Cyrl-RS"/>
        </w:rPr>
        <w:t xml:space="preserve">  Директорка установе</w:t>
      </w:r>
    </w:p>
    <w:p w14:paraId="25EBA504" w14:textId="77777777" w:rsidR="003878AD" w:rsidRPr="00766E81" w:rsidRDefault="003878AD" w:rsidP="003878A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264738" w14:textId="2C5CE141" w:rsidR="003878AD" w:rsidRPr="00766E81" w:rsidRDefault="003878AD" w:rsidP="003878A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766E8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76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472E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766E8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C472E">
        <w:rPr>
          <w:rFonts w:ascii="Times New Roman" w:hAnsi="Times New Roman" w:cs="Times New Roman"/>
          <w:sz w:val="24"/>
          <w:szCs w:val="24"/>
          <w:lang w:val="sr-Cyrl-RS"/>
        </w:rPr>
        <w:t>удит Аћимчев</w:t>
      </w:r>
    </w:p>
    <w:sectPr w:rsidR="003878AD" w:rsidRPr="00766E81" w:rsidSect="000066F7">
      <w:footerReference w:type="default" r:id="rId8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DA09" w14:textId="77777777" w:rsidR="00B94FDD" w:rsidRDefault="00B94FDD">
      <w:pPr>
        <w:spacing w:after="0" w:line="240" w:lineRule="auto"/>
      </w:pPr>
      <w:r>
        <w:separator/>
      </w:r>
    </w:p>
  </w:endnote>
  <w:endnote w:type="continuationSeparator" w:id="0">
    <w:p w14:paraId="79718765" w14:textId="77777777" w:rsidR="00B94FDD" w:rsidRDefault="00B9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414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502DA" w14:textId="3D8A9169" w:rsidR="00565B6D" w:rsidRDefault="00565B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07AC4" w14:textId="77777777" w:rsidR="00565B6D" w:rsidRDefault="00565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5A76" w14:textId="77777777" w:rsidR="00B94FDD" w:rsidRDefault="00B94FDD">
      <w:pPr>
        <w:spacing w:after="0" w:line="240" w:lineRule="auto"/>
      </w:pPr>
      <w:r>
        <w:separator/>
      </w:r>
    </w:p>
  </w:footnote>
  <w:footnote w:type="continuationSeparator" w:id="0">
    <w:p w14:paraId="0C06E015" w14:textId="77777777" w:rsidR="00B94FDD" w:rsidRDefault="00B9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5"/>
    <w:multiLevelType w:val="hybridMultilevel"/>
    <w:tmpl w:val="DAC0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69B"/>
    <w:multiLevelType w:val="multilevel"/>
    <w:tmpl w:val="E7A2F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228EC"/>
    <w:multiLevelType w:val="multilevel"/>
    <w:tmpl w:val="27B2398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3B0D7F"/>
    <w:multiLevelType w:val="hybridMultilevel"/>
    <w:tmpl w:val="4588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6986"/>
    <w:multiLevelType w:val="multilevel"/>
    <w:tmpl w:val="34AC2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7432C0"/>
    <w:multiLevelType w:val="multilevel"/>
    <w:tmpl w:val="375ADA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330F1F"/>
    <w:multiLevelType w:val="multilevel"/>
    <w:tmpl w:val="84A65058"/>
    <w:lvl w:ilvl="0">
      <w:start w:val="1"/>
      <w:numFmt w:val="bullet"/>
      <w:lvlText w:val="➢"/>
      <w:lvlJc w:val="left"/>
      <w:pPr>
        <w:ind w:left="459" w:hanging="288"/>
      </w:pPr>
      <w:rPr>
        <w:rFonts w:ascii="Arimo" w:eastAsia="Arimo" w:hAnsi="Arimo" w:cs="Arimo"/>
        <w:color w:val="4471C4"/>
        <w:sz w:val="24"/>
        <w:szCs w:val="24"/>
      </w:rPr>
    </w:lvl>
    <w:lvl w:ilvl="1">
      <w:start w:val="2"/>
      <w:numFmt w:val="decimal"/>
      <w:lvlText w:val="%2)"/>
      <w:lvlJc w:val="left"/>
      <w:pPr>
        <w:ind w:left="462" w:hanging="26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/>
        <w:b/>
        <w:sz w:val="32"/>
        <w:szCs w:val="32"/>
      </w:rPr>
    </w:lvl>
    <w:lvl w:ilvl="3">
      <w:start w:val="1"/>
      <w:numFmt w:val="decimal"/>
      <w:lvlText w:val="%3.%4"/>
      <w:lvlJc w:val="left"/>
      <w:pPr>
        <w:ind w:left="1010" w:hanging="352"/>
      </w:pPr>
      <w:rPr>
        <w:rFonts w:ascii="Times New Roman" w:eastAsia="Times New Roman" w:hAnsi="Times New Roman" w:cs="Times New Roman"/>
        <w:b/>
        <w:sz w:val="28"/>
        <w:szCs w:val="28"/>
      </w:rPr>
    </w:lvl>
    <w:lvl w:ilvl="4">
      <w:start w:val="1"/>
      <w:numFmt w:val="decimal"/>
      <w:lvlText w:val="%3.%4.%5."/>
      <w:lvlJc w:val="left"/>
      <w:pPr>
        <w:ind w:left="144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5">
      <w:start w:val="1"/>
      <w:numFmt w:val="bullet"/>
      <w:lvlText w:val="•"/>
      <w:lvlJc w:val="left"/>
      <w:pPr>
        <w:ind w:left="1400" w:hanging="720"/>
      </w:pPr>
    </w:lvl>
    <w:lvl w:ilvl="6">
      <w:start w:val="1"/>
      <w:numFmt w:val="bullet"/>
      <w:lvlText w:val="•"/>
      <w:lvlJc w:val="left"/>
      <w:pPr>
        <w:ind w:left="1440" w:hanging="720"/>
      </w:pPr>
    </w:lvl>
    <w:lvl w:ilvl="7">
      <w:start w:val="1"/>
      <w:numFmt w:val="bullet"/>
      <w:lvlText w:val="•"/>
      <w:lvlJc w:val="left"/>
      <w:pPr>
        <w:ind w:left="3436" w:hanging="720"/>
      </w:pPr>
    </w:lvl>
    <w:lvl w:ilvl="8">
      <w:start w:val="1"/>
      <w:numFmt w:val="bullet"/>
      <w:lvlText w:val="•"/>
      <w:lvlJc w:val="left"/>
      <w:pPr>
        <w:ind w:left="5433" w:hanging="720"/>
      </w:pPr>
    </w:lvl>
  </w:abstractNum>
  <w:abstractNum w:abstractNumId="7" w15:restartNumberingAfterBreak="0">
    <w:nsid w:val="2D2C36B1"/>
    <w:multiLevelType w:val="multilevel"/>
    <w:tmpl w:val="BAF250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D06BD"/>
    <w:multiLevelType w:val="multilevel"/>
    <w:tmpl w:val="5E9A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2613E25"/>
    <w:multiLevelType w:val="multilevel"/>
    <w:tmpl w:val="9692F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865E27"/>
    <w:multiLevelType w:val="multilevel"/>
    <w:tmpl w:val="7C10FFEE"/>
    <w:lvl w:ilvl="0">
      <w:numFmt w:val="bullet"/>
      <w:lvlText w:val="-"/>
      <w:lvlJc w:val="left"/>
      <w:pPr>
        <w:ind w:left="870" w:hanging="51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7406932">
    <w:abstractNumId w:val="1"/>
  </w:num>
  <w:num w:numId="2" w16cid:durableId="2075615669">
    <w:abstractNumId w:val="0"/>
  </w:num>
  <w:num w:numId="3" w16cid:durableId="1089739347">
    <w:abstractNumId w:val="5"/>
  </w:num>
  <w:num w:numId="4" w16cid:durableId="1072584475">
    <w:abstractNumId w:val="2"/>
  </w:num>
  <w:num w:numId="5" w16cid:durableId="847599389">
    <w:abstractNumId w:val="4"/>
  </w:num>
  <w:num w:numId="6" w16cid:durableId="601650518">
    <w:abstractNumId w:val="8"/>
  </w:num>
  <w:num w:numId="7" w16cid:durableId="402871499">
    <w:abstractNumId w:val="7"/>
  </w:num>
  <w:num w:numId="8" w16cid:durableId="1552568785">
    <w:abstractNumId w:val="9"/>
  </w:num>
  <w:num w:numId="9" w16cid:durableId="2060784276">
    <w:abstractNumId w:val="6"/>
  </w:num>
  <w:num w:numId="10" w16cid:durableId="1955363660">
    <w:abstractNumId w:val="10"/>
  </w:num>
  <w:num w:numId="11" w16cid:durableId="1077245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FF"/>
    <w:rsid w:val="000066F7"/>
    <w:rsid w:val="00031C18"/>
    <w:rsid w:val="000A7670"/>
    <w:rsid w:val="000B33F4"/>
    <w:rsid w:val="003878AD"/>
    <w:rsid w:val="003D1F71"/>
    <w:rsid w:val="00411FFF"/>
    <w:rsid w:val="00565B6D"/>
    <w:rsid w:val="00631363"/>
    <w:rsid w:val="006A1D2A"/>
    <w:rsid w:val="006C480C"/>
    <w:rsid w:val="006F2265"/>
    <w:rsid w:val="00732B4E"/>
    <w:rsid w:val="0077696A"/>
    <w:rsid w:val="00792E48"/>
    <w:rsid w:val="0083258E"/>
    <w:rsid w:val="00AA361B"/>
    <w:rsid w:val="00AE1AC1"/>
    <w:rsid w:val="00B94FDD"/>
    <w:rsid w:val="00BA636D"/>
    <w:rsid w:val="00BC472E"/>
    <w:rsid w:val="00C661D1"/>
    <w:rsid w:val="00CD697C"/>
    <w:rsid w:val="00D759E6"/>
    <w:rsid w:val="00E62789"/>
    <w:rsid w:val="00E65B0E"/>
    <w:rsid w:val="00E8535A"/>
    <w:rsid w:val="00EC59BF"/>
    <w:rsid w:val="00F4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B9C5"/>
  <w15:docId w15:val="{8312FCA0-B7E1-42F2-AC5D-7CFCDB4F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D1"/>
    <w:rPr>
      <w:rFonts w:ascii="Tahoma" w:hAnsi="Tahoma" w:cs="Tahoma"/>
      <w:sz w:val="16"/>
      <w:szCs w:val="16"/>
    </w:rPr>
  </w:style>
  <w:style w:type="paragraph" w:customStyle="1" w:styleId="uvuceni">
    <w:name w:val="uvuceni"/>
    <w:basedOn w:val="Normal"/>
    <w:rsid w:val="00C661D1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C66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1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6D"/>
  </w:style>
  <w:style w:type="paragraph" w:styleId="Footer">
    <w:name w:val="footer"/>
    <w:basedOn w:val="Normal"/>
    <w:link w:val="FooterChar"/>
    <w:uiPriority w:val="99"/>
    <w:unhideWhenUsed/>
    <w:rsid w:val="0056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6D"/>
  </w:style>
  <w:style w:type="character" w:styleId="UnresolvedMention">
    <w:name w:val="Unresolved Mention"/>
    <w:basedOn w:val="DefaultParagraphFont"/>
    <w:uiPriority w:val="99"/>
    <w:semiHidden/>
    <w:unhideWhenUsed/>
    <w:rsid w:val="000A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njiza-muzicka.skol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Muzicka Skola</cp:lastModifiedBy>
  <cp:revision>5</cp:revision>
  <cp:lastPrinted>2022-12-29T08:24:00Z</cp:lastPrinted>
  <dcterms:created xsi:type="dcterms:W3CDTF">2022-12-28T09:21:00Z</dcterms:created>
  <dcterms:modified xsi:type="dcterms:W3CDTF">2022-12-29T08:41:00Z</dcterms:modified>
</cp:coreProperties>
</file>